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bookmarkStart w:id="0" w:name="Title"/>
      <w:bookmarkEnd w:id="0"/>
      <w:bookmarkStart w:id="1" w:name="DocumentFor"/>
      <w:bookmarkEnd w:id="1"/>
      <w:bookmarkStart w:id="2" w:name="OLE_LINK1"/>
      <w:r>
        <w:rPr>
          <w:rFonts w:ascii="Arial" w:hAnsi="Arial" w:cs="Arial"/>
          <w:b/>
          <w:sz w:val="24"/>
          <w:szCs w:val="24"/>
        </w:rPr>
        <w:t xml:space="preserve">3GPP TSG-RAN WG4 Meeting # </w:t>
      </w:r>
      <w:r>
        <w:rPr>
          <w:rFonts w:hint="eastAsia" w:ascii="Arial" w:hAnsi="Arial" w:cs="Arial"/>
          <w:b/>
          <w:sz w:val="24"/>
          <w:szCs w:val="24"/>
        </w:rPr>
        <w:t>106bis-e</w:t>
      </w:r>
      <w:r>
        <w:rPr>
          <w:rFonts w:hint="eastAsia" w:ascii="Arial" w:hAnsi="Arial" w:cs="Arial"/>
          <w:b/>
          <w:color w:val="FF0000"/>
          <w:sz w:val="24"/>
          <w:szCs w:val="24"/>
        </w:rPr>
        <w:t xml:space="preserve"> </w:t>
      </w:r>
      <w:r>
        <w:rPr>
          <w:rFonts w:hint="eastAsia" w:ascii="Arial" w:hAnsi="Arial" w:cs="Arial"/>
          <w:b/>
          <w:sz w:val="24"/>
          <w:szCs w:val="24"/>
        </w:rPr>
        <w:t xml:space="preserve">                              R4-2304694</w:t>
      </w:r>
    </w:p>
    <w:bookmarkEnd w:id="2"/>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r>
        <w:rPr>
          <w:rFonts w:hint="eastAsia" w:ascii="Arial" w:hAnsi="Arial" w:eastAsia="宋体" w:cs="Arial"/>
          <w:b/>
          <w:sz w:val="24"/>
          <w:szCs w:val="24"/>
          <w:lang w:eastAsia="zh-CN"/>
        </w:rPr>
        <w:t>Online, April 17 – April 26, 2023</w:t>
      </w:r>
    </w:p>
    <w:p>
      <w:pPr>
        <w:pStyle w:val="14"/>
        <w:widowControl w:val="0"/>
        <w:spacing w:before="120" w:after="120"/>
        <w:jc w:val="both"/>
        <w:rPr>
          <w:b/>
          <w:i/>
          <w:sz w:val="24"/>
        </w:rPr>
      </w:pPr>
    </w:p>
    <w:p>
      <w:pPr>
        <w:widowControl w:val="0"/>
        <w:tabs>
          <w:tab w:val="left" w:pos="1985"/>
        </w:tabs>
        <w:spacing w:before="120" w:after="120" w:line="240" w:lineRule="auto"/>
        <w:outlineLvl w:val="0"/>
        <w:rPr>
          <w:rStyle w:val="59"/>
          <w:b/>
        </w:rPr>
      </w:pPr>
      <w:r>
        <w:rPr>
          <w:rFonts w:ascii="Arial" w:hAnsi="Arial"/>
          <w:b/>
          <w:sz w:val="24"/>
          <w:lang w:val="pt-BR"/>
        </w:rPr>
        <w:t xml:space="preserve">Title: </w:t>
      </w:r>
      <w:r>
        <w:rPr>
          <w:rFonts w:ascii="Arial" w:hAnsi="Arial"/>
          <w:b/>
          <w:sz w:val="24"/>
          <w:lang w:val="pt-BR"/>
        </w:rPr>
        <w:tab/>
      </w:r>
      <w:bookmarkStart w:id="3" w:name="OLE_LINK44"/>
      <w:r>
        <w:rPr>
          <w:rFonts w:hint="eastAsia" w:ascii="Arial" w:hAnsi="Arial"/>
          <w:b/>
          <w:sz w:val="24"/>
          <w:lang w:val="en-US" w:eastAsia="zh-CN"/>
        </w:rPr>
        <w:t>D</w:t>
      </w:r>
      <w:r>
        <w:rPr>
          <w:rStyle w:val="59"/>
          <w:rFonts w:hint="eastAsia"/>
          <w:b/>
          <w:lang w:val="pt-BR"/>
        </w:rPr>
        <w:t>iscussion on</w:t>
      </w:r>
      <w:bookmarkStart w:id="4" w:name="OLE_LINK7"/>
      <w:r>
        <w:rPr>
          <w:rStyle w:val="59"/>
          <w:rFonts w:hint="eastAsia"/>
          <w:b/>
          <w:lang w:val="en-US" w:eastAsia="zh-CN"/>
        </w:rPr>
        <w:t xml:space="preserve"> UE RF of </w:t>
      </w:r>
      <w:r>
        <w:rPr>
          <w:rStyle w:val="59"/>
          <w:rFonts w:hint="eastAsia"/>
          <w:b/>
        </w:rPr>
        <w:t>non-collocated</w:t>
      </w:r>
      <w:r>
        <w:rPr>
          <w:rStyle w:val="59"/>
          <w:rFonts w:hint="eastAsia"/>
          <w:b/>
          <w:lang w:val="en-US" w:eastAsia="zh-CN"/>
        </w:rPr>
        <w:t xml:space="preserve"> </w:t>
      </w:r>
      <w:r>
        <w:rPr>
          <w:rStyle w:val="59"/>
          <w:rFonts w:hint="eastAsia"/>
          <w:b/>
        </w:rPr>
        <w:t>EN-DC</w:t>
      </w:r>
      <w:bookmarkEnd w:id="4"/>
      <w:r>
        <w:rPr>
          <w:rStyle w:val="59"/>
          <w:rFonts w:hint="eastAsia"/>
          <w:b/>
        </w:rPr>
        <w:t xml:space="preserve"> and NR-CA</w:t>
      </w:r>
      <w:bookmarkEnd w:id="3"/>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p>
    <w:p>
      <w:pPr>
        <w:widowControl w:val="0"/>
        <w:tabs>
          <w:tab w:val="left" w:pos="1985"/>
        </w:tabs>
        <w:spacing w:before="120" w:after="120"/>
        <w:outlineLvl w:val="0"/>
        <w:rPr>
          <w:rStyle w:val="59"/>
          <w:b/>
        </w:rPr>
      </w:pPr>
      <w:r>
        <w:rPr>
          <w:rStyle w:val="59"/>
          <w:rFonts w:hint="eastAsia"/>
          <w:b/>
          <w:lang w:val="pt-BR"/>
        </w:rPr>
        <w:t>Agenda item:</w:t>
      </w:r>
      <w:r>
        <w:rPr>
          <w:rStyle w:val="59"/>
          <w:rFonts w:hint="eastAsia"/>
          <w:b/>
          <w:lang w:val="pt-BR"/>
        </w:rPr>
        <w:tab/>
      </w:r>
      <w:r>
        <w:rPr>
          <w:rStyle w:val="59"/>
          <w:rFonts w:hint="eastAsia"/>
          <w:b/>
          <w:color w:val="auto"/>
          <w:lang w:val="en-US" w:eastAsia="zh-CN"/>
        </w:rPr>
        <w:t>5</w:t>
      </w:r>
      <w:r>
        <w:rPr>
          <w:rStyle w:val="59"/>
          <w:rFonts w:hint="eastAsia"/>
          <w:b/>
          <w:color w:val="auto"/>
        </w:rPr>
        <w:t>.</w:t>
      </w:r>
      <w:r>
        <w:rPr>
          <w:rStyle w:val="59"/>
          <w:rFonts w:hint="eastAsia"/>
          <w:b/>
          <w:color w:val="auto"/>
          <w:lang w:val="en-US" w:eastAsia="zh-CN"/>
        </w:rPr>
        <w:t>12</w:t>
      </w:r>
      <w:r>
        <w:rPr>
          <w:rStyle w:val="59"/>
          <w:rFonts w:hint="eastAsia"/>
          <w:b/>
          <w:color w:val="auto"/>
        </w:rPr>
        <w:t>.2</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5" w:name="OLE_LINK25"/>
    </w:p>
    <w:p>
      <w:pPr>
        <w:spacing w:after="120"/>
        <w:rPr>
          <w:rFonts w:hint="default" w:cs="Times New Roman"/>
          <w:sz w:val="20"/>
          <w:szCs w:val="20"/>
          <w:lang w:val="en-US" w:eastAsia="zh-CN"/>
        </w:rPr>
      </w:pPr>
      <w:r>
        <w:rPr>
          <w:rFonts w:hint="eastAsia"/>
          <w:sz w:val="20"/>
          <w:szCs w:val="20"/>
          <w:lang w:val="en-US" w:eastAsia="zh-CN"/>
        </w:rPr>
        <w:t>A</w:t>
      </w:r>
      <w:r>
        <w:rPr>
          <w:rFonts w:ascii="Times New Roman" w:hAnsi="Times New Roman"/>
          <w:sz w:val="20"/>
          <w:szCs w:val="20"/>
        </w:rPr>
        <w:t xml:space="preserve"> new WI </w:t>
      </w:r>
      <w:r>
        <w:rPr>
          <w:rFonts w:hint="eastAsia"/>
          <w:sz w:val="20"/>
          <w:szCs w:val="20"/>
          <w:lang w:val="en-US" w:eastAsia="zh-CN"/>
        </w:rPr>
        <w:t>for</w:t>
      </w:r>
      <w:r>
        <w:rPr>
          <w:rFonts w:ascii="Times New Roman" w:hAnsi="Times New Roman"/>
          <w:sz w:val="20"/>
          <w:szCs w:val="20"/>
        </w:rPr>
        <w:t xml:space="preserve"> intra-band non-collocated ENDC/NRCA was approved</w:t>
      </w:r>
      <w:r>
        <w:rPr>
          <w:rFonts w:hint="eastAsia"/>
          <w:sz w:val="20"/>
          <w:szCs w:val="20"/>
          <w:lang w:val="en-US" w:eastAsia="zh-CN"/>
        </w:rPr>
        <w:t xml:space="preserve"> i</w:t>
      </w:r>
      <w:r>
        <w:rPr>
          <w:rFonts w:ascii="Times New Roman" w:hAnsi="Times New Roman" w:cs="Times New Roman"/>
          <w:sz w:val="20"/>
          <w:szCs w:val="20"/>
          <w:lang w:val="en-GB"/>
        </w:rPr>
        <w:t>n RAN#95-e meeting</w:t>
      </w:r>
      <w:r>
        <w:rPr>
          <w:rFonts w:ascii="Times New Roman" w:hAnsi="Times New Roman"/>
          <w:sz w:val="20"/>
          <w:szCs w:val="20"/>
        </w:rPr>
        <w:t>.</w:t>
      </w:r>
      <w:r>
        <w:rPr>
          <w:rFonts w:ascii="Times New Roman" w:hAnsi="Times New Roman" w:cs="Times New Roman"/>
          <w:sz w:val="20"/>
          <w:szCs w:val="20"/>
          <w:lang w:val="en-GB"/>
        </w:rPr>
        <w:t xml:space="preserve"> In RAN4#10</w:t>
      </w:r>
      <w:r>
        <w:rPr>
          <w:rFonts w:hint="eastAsia" w:cs="Times New Roman"/>
          <w:sz w:val="20"/>
          <w:szCs w:val="20"/>
          <w:lang w:val="en-US" w:eastAsia="zh-CN"/>
        </w:rPr>
        <w:t>6</w:t>
      </w:r>
      <w:r>
        <w:rPr>
          <w:rFonts w:ascii="Times New Roman" w:hAnsi="Times New Roman" w:cs="Times New Roman"/>
          <w:sz w:val="20"/>
          <w:szCs w:val="20"/>
          <w:lang w:val="en-GB"/>
        </w:rPr>
        <w:t xml:space="preserve"> meeting, the UE architecture for Type-3a/</w:t>
      </w:r>
      <w:r>
        <w:rPr>
          <w:rFonts w:hint="eastAsia" w:cs="Times New Roman"/>
          <w:sz w:val="20"/>
          <w:szCs w:val="20"/>
          <w:lang w:val="en-US" w:eastAsia="zh-CN"/>
        </w:rPr>
        <w:t>3</w:t>
      </w:r>
      <w:r>
        <w:rPr>
          <w:rFonts w:ascii="Times New Roman" w:hAnsi="Times New Roman" w:cs="Times New Roman"/>
          <w:sz w:val="20"/>
          <w:szCs w:val="20"/>
          <w:lang w:val="en-GB"/>
        </w:rPr>
        <w:t xml:space="preserve">b and </w:t>
      </w:r>
      <w:r>
        <w:rPr>
          <w:rFonts w:hint="eastAsia" w:cs="Times New Roman"/>
          <w:sz w:val="20"/>
          <w:szCs w:val="20"/>
          <w:lang w:val="en-US" w:eastAsia="zh-CN"/>
        </w:rPr>
        <w:t>was confirmed, while some issues about Type 3a/3b UE need further discussion which are listed below</w:t>
      </w:r>
      <w:r>
        <w:rPr>
          <w:rFonts w:hint="eastAsia" w:cs="Times New Roman"/>
          <w:sz w:val="20"/>
          <w:szCs w:val="20"/>
          <w:vertAlign w:val="superscript"/>
          <w:lang w:val="en-US" w:eastAsia="zh-CN"/>
        </w:rPr>
        <w:t>[1]</w:t>
      </w:r>
      <w:r>
        <w:rPr>
          <w:rFonts w:hint="eastAsia" w:cs="Times New Roman"/>
          <w:sz w:val="20"/>
          <w:szCs w:val="20"/>
          <w:lang w:val="en-US" w:eastAsia="zh-CN"/>
        </w:rPr>
        <w:t>.</w:t>
      </w:r>
    </w:p>
    <w:p>
      <w:pPr>
        <w:spacing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RF requirements for Type 3a/3b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&lt;</w:t>
            </w:r>
            <w:r>
              <w:rPr>
                <w:rFonts w:hint="default" w:ascii="Times New Roman" w:hAnsi="Times New Roman" w:cs="Times New Roman"/>
                <w:sz w:val="20"/>
                <w:szCs w:val="20"/>
              </w:rPr>
              <w:t xml:space="preserve"> </w:t>
            </w:r>
            <w:r>
              <w:rPr>
                <w:rFonts w:hint="default" w:ascii="Times New Roman" w:hAnsi="Times New Roman" w:eastAsia="游明朝" w:cs="Times New Roman"/>
                <w:sz w:val="20"/>
                <w:szCs w:val="20"/>
                <w:lang w:eastAsia="ja-JP"/>
              </w:rPr>
              <w:t>Issue 3-2-1: Whether to keep TAE/network synchronization requirement for Type 3a/3b &gt;</w:t>
            </w:r>
          </w:p>
          <w:p>
            <w:pPr>
              <w:numPr>
                <w:ilvl w:val="1"/>
                <w:numId w:val="7"/>
              </w:numPr>
              <w:overflowPunct w:val="0"/>
              <w:autoSpaceDE w:val="0"/>
              <w:autoSpaceDN w:val="0"/>
              <w:adjustRightInd w:val="0"/>
              <w:spacing w:after="18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Option.1 Keep TAE 3us</w:t>
            </w:r>
          </w:p>
          <w:p>
            <w:pPr>
              <w:numPr>
                <w:ilvl w:val="1"/>
                <w:numId w:val="7"/>
              </w:numPr>
              <w:overflowPunct w:val="0"/>
              <w:autoSpaceDE w:val="0"/>
              <w:autoSpaceDN w:val="0"/>
              <w:adjustRightInd w:val="0"/>
              <w:spacing w:after="18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Option.2 MRTD [3]us</w:t>
            </w:r>
          </w:p>
          <w:p>
            <w:pPr>
              <w:numPr>
                <w:ilvl w:val="1"/>
                <w:numId w:val="7"/>
              </w:numPr>
              <w:overflowPunct w:val="0"/>
              <w:autoSpaceDE w:val="0"/>
              <w:autoSpaceDN w:val="0"/>
              <w:adjustRightInd w:val="0"/>
              <w:spacing w:after="18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Option.3 MRTD &lt; CP</w:t>
            </w:r>
          </w:p>
          <w:p>
            <w:pPr>
              <w:overflowPunct w:val="0"/>
              <w:autoSpaceDE w:val="0"/>
              <w:autoSpaceDN w:val="0"/>
              <w:adjustRightInd w:val="0"/>
              <w:spacing w:after="180"/>
              <w:textAlignment w:val="baseline"/>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 xml:space="preserve">Way Forward: </w:t>
            </w:r>
          </w:p>
          <w:p>
            <w:pPr>
              <w:overflowPunct w:val="0"/>
              <w:autoSpaceDE w:val="0"/>
              <w:autoSpaceDN w:val="0"/>
              <w:adjustRightInd w:val="0"/>
              <w:spacing w:after="18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Continue further discussions in the next meeting.</w:t>
            </w:r>
          </w:p>
          <w:p>
            <w:pPr>
              <w:overflowPunct w:val="0"/>
              <w:autoSpaceDE w:val="0"/>
              <w:autoSpaceDN w:val="0"/>
              <w:adjustRightInd w:val="0"/>
              <w:spacing w:after="18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&lt;</w:t>
            </w:r>
            <w:r>
              <w:rPr>
                <w:rFonts w:hint="default" w:ascii="Times New Roman" w:hAnsi="Times New Roman" w:cs="Times New Roman"/>
                <w:sz w:val="20"/>
                <w:szCs w:val="20"/>
              </w:rPr>
              <w:t xml:space="preserve"> </w:t>
            </w:r>
            <w:r>
              <w:rPr>
                <w:rFonts w:hint="default" w:ascii="Times New Roman" w:hAnsi="Times New Roman" w:eastAsia="游明朝" w:cs="Times New Roman"/>
                <w:sz w:val="20"/>
                <w:szCs w:val="20"/>
                <w:lang w:eastAsia="ja-JP"/>
              </w:rPr>
              <w:t>Issue 3-2-2: Whether to discuss to cope with both 25dB power imbalance (including the relaxation&lt;25dB) and MRTD&gt;CP Length for Type 3a/3b &gt;</w:t>
            </w:r>
          </w:p>
          <w:p>
            <w:pPr>
              <w:overflowPunct w:val="0"/>
              <w:autoSpaceDE w:val="0"/>
              <w:autoSpaceDN w:val="0"/>
              <w:adjustRightInd w:val="0"/>
              <w:spacing w:after="180"/>
              <w:textAlignment w:val="baseline"/>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 xml:space="preserve">Way Forward: </w:t>
            </w:r>
          </w:p>
          <w:p>
            <w:pPr>
              <w:numPr>
                <w:ilvl w:val="0"/>
                <w:numId w:val="8"/>
              </w:numPr>
              <w:overflowPunct w:val="0"/>
              <w:autoSpaceDE w:val="0"/>
              <w:autoSpaceDN w:val="0"/>
              <w:adjustRightInd w:val="0"/>
              <w:spacing w:after="180"/>
              <w:textAlignment w:val="baseline"/>
              <w:rPr>
                <w:rFonts w:hint="default" w:ascii="Times New Roman" w:hAnsi="Times New Roman" w:eastAsia="游明朝" w:cs="Times New Roman"/>
                <w:sz w:val="20"/>
                <w:szCs w:val="20"/>
                <w:lang w:eastAsia="ja-JP"/>
              </w:rPr>
            </w:pPr>
            <w:r>
              <w:rPr>
                <w:rFonts w:hint="default" w:ascii="Times New Roman" w:hAnsi="Times New Roman" w:cs="Times New Roman"/>
                <w:sz w:val="20"/>
                <w:szCs w:val="20"/>
                <w:lang w:val="en-US"/>
              </w:rPr>
              <w:t>Continue to discuss the following both options in the next meeting.</w:t>
            </w:r>
          </w:p>
          <w:p>
            <w:pPr>
              <w:numPr>
                <w:ilvl w:val="1"/>
                <w:numId w:val="9"/>
              </w:numPr>
              <w:overflowPunct w:val="0"/>
              <w:autoSpaceDE w:val="0"/>
              <w:autoSpaceDN w:val="0"/>
              <w:adjustRightInd w:val="0"/>
              <w:spacing w:after="18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Option.1: Cope with 25dB (including the relaxation&lt;25dB) and MRTD&gt;CP. </w:t>
            </w:r>
          </w:p>
          <w:p>
            <w:pPr>
              <w:numPr>
                <w:ilvl w:val="1"/>
                <w:numId w:val="9"/>
              </w:numPr>
              <w:overflowPunct w:val="0"/>
              <w:autoSpaceDE w:val="0"/>
              <w:autoSpaceDN w:val="0"/>
              <w:adjustRightInd w:val="0"/>
              <w:spacing w:after="18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Option.2: RTD should be within CP to enable type 3a/3b UE. And power imbalance should be reduced accordingly.</w:t>
            </w:r>
          </w:p>
          <w:p>
            <w:pPr>
              <w:overflowPunct w:val="0"/>
              <w:autoSpaceDE w:val="0"/>
              <w:autoSpaceDN w:val="0"/>
              <w:adjustRightInd w:val="0"/>
              <w:spacing w:after="18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&lt;</w:t>
            </w:r>
            <w:r>
              <w:rPr>
                <w:rFonts w:hint="default" w:ascii="Times New Roman" w:hAnsi="Times New Roman" w:cs="Times New Roman"/>
                <w:sz w:val="20"/>
                <w:szCs w:val="20"/>
              </w:rPr>
              <w:t xml:space="preserve"> </w:t>
            </w:r>
            <w:r>
              <w:rPr>
                <w:rFonts w:hint="default" w:ascii="Times New Roman" w:hAnsi="Times New Roman" w:eastAsia="游明朝" w:cs="Times New Roman"/>
                <w:sz w:val="20"/>
                <w:szCs w:val="20"/>
                <w:lang w:eastAsia="ja-JP"/>
              </w:rPr>
              <w:t>Issue 3-2-3: With the assumption MRTD＞CP, discuss the RF requirement/performance for 25dB power imbalance (including the relaxation＜25dB) for type3a/3b based on companies’ input. &gt;</w:t>
            </w:r>
          </w:p>
          <w:p>
            <w:pPr>
              <w:overflowPunct w:val="0"/>
              <w:autoSpaceDE w:val="0"/>
              <w:autoSpaceDN w:val="0"/>
              <w:adjustRightInd w:val="0"/>
              <w:spacing w:after="180"/>
              <w:textAlignment w:val="baseline"/>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 xml:space="preserve">Way Forward: </w:t>
            </w:r>
          </w:p>
          <w:p>
            <w:pPr>
              <w:numPr>
                <w:ilvl w:val="0"/>
                <w:numId w:val="8"/>
              </w:numPr>
              <w:overflowPunct w:val="0"/>
              <w:autoSpaceDE w:val="0"/>
              <w:autoSpaceDN w:val="0"/>
              <w:adjustRightInd w:val="0"/>
              <w:spacing w:after="180"/>
              <w:textAlignment w:val="baseline"/>
              <w:rPr>
                <w:rFonts w:hint="default" w:ascii="Times New Roman" w:hAnsi="Times New Roman" w:eastAsia="游明朝" w:cs="Times New Roman"/>
                <w:sz w:val="20"/>
                <w:szCs w:val="20"/>
                <w:lang w:eastAsia="ja-JP"/>
              </w:rPr>
            </w:pPr>
            <w:r>
              <w:rPr>
                <w:rFonts w:hint="default" w:ascii="Times New Roman" w:hAnsi="Times New Roman" w:cs="Times New Roman"/>
                <w:sz w:val="20"/>
                <w:szCs w:val="20"/>
                <w:lang w:val="en-US"/>
              </w:rPr>
              <w:t>Continue further discussion and introduce sub-AI for simulation in the next meeting.</w:t>
            </w:r>
          </w:p>
          <w:p>
            <w:pPr>
              <w:overflowPunct w:val="0"/>
              <w:autoSpaceDE w:val="0"/>
              <w:autoSpaceDN w:val="0"/>
              <w:adjustRightInd w:val="0"/>
              <w:spacing w:after="18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&lt;</w:t>
            </w:r>
            <w:r>
              <w:rPr>
                <w:rFonts w:hint="default" w:ascii="Times New Roman" w:hAnsi="Times New Roman" w:cs="Times New Roman"/>
                <w:sz w:val="20"/>
                <w:szCs w:val="20"/>
              </w:rPr>
              <w:t xml:space="preserve"> </w:t>
            </w:r>
            <w:r>
              <w:rPr>
                <w:rFonts w:hint="default" w:ascii="Times New Roman" w:hAnsi="Times New Roman" w:eastAsia="游明朝" w:cs="Times New Roman"/>
                <w:sz w:val="20"/>
                <w:szCs w:val="20"/>
                <w:lang w:eastAsia="ja-JP"/>
              </w:rPr>
              <w:t>Issue 3-2-5: Whether to discuss the power imbalance along with the assumption MRTD＜CP. &gt;</w:t>
            </w:r>
          </w:p>
          <w:p>
            <w:pPr>
              <w:overflowPunct w:val="0"/>
              <w:autoSpaceDE w:val="0"/>
              <w:autoSpaceDN w:val="0"/>
              <w:adjustRightInd w:val="0"/>
              <w:spacing w:after="180"/>
              <w:textAlignment w:val="baseline"/>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 xml:space="preserve">Way Forward: </w:t>
            </w:r>
          </w:p>
          <w:p>
            <w:pPr>
              <w:numPr>
                <w:ilvl w:val="0"/>
                <w:numId w:val="8"/>
              </w:numPr>
              <w:overflowPunct w:val="0"/>
              <w:autoSpaceDE w:val="0"/>
              <w:autoSpaceDN w:val="0"/>
              <w:adjustRightInd w:val="0"/>
              <w:spacing w:after="18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Continue further discussions in the next meeting.</w:t>
            </w:r>
          </w:p>
        </w:tc>
      </w:tr>
    </w:tbl>
    <w:p>
      <w:pPr>
        <w:widowControl w:val="0"/>
        <w:spacing w:before="120" w:beforeLines="0" w:after="120" w:afterLines="0" w:line="240" w:lineRule="auto"/>
        <w:jc w:val="left"/>
        <w:rPr>
          <w:rFonts w:hint="default"/>
          <w:kern w:val="0"/>
          <w:sz w:val="20"/>
          <w:lang w:val="en-US" w:eastAsia="zh-CN"/>
        </w:rPr>
      </w:pPr>
      <w:r>
        <w:rPr>
          <w:rFonts w:hint="eastAsia"/>
          <w:kern w:val="0"/>
          <w:sz w:val="20"/>
          <w:lang w:val="en-US" w:eastAsia="zh-CN"/>
        </w:rPr>
        <w:t xml:space="preserve">RF </w:t>
      </w:r>
      <w:r>
        <w:rPr>
          <w:rFonts w:hint="eastAsia" w:cs="Times New Roman"/>
          <w:lang w:val="en-US" w:eastAsia="zh-CN"/>
        </w:rPr>
        <w:t xml:space="preserve">requirements </w:t>
      </w:r>
      <w:r>
        <w:rPr>
          <w:rFonts w:hint="eastAsia"/>
          <w:kern w:val="0"/>
          <w:sz w:val="20"/>
          <w:lang w:val="en-US" w:eastAsia="zh-CN"/>
        </w:rPr>
        <w:t>for Type4a/4b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&lt;</w:t>
            </w:r>
            <w:r>
              <w:rPr>
                <w:rFonts w:hint="default" w:ascii="Times New Roman" w:hAnsi="Times New Roman" w:cs="Times New Roman"/>
                <w:sz w:val="20"/>
                <w:szCs w:val="20"/>
              </w:rPr>
              <w:t xml:space="preserve"> Issue 4-1-1: When to develop requirements for Type 4a/4b UE </w:t>
            </w:r>
            <w:r>
              <w:rPr>
                <w:rFonts w:hint="default" w:ascii="Times New Roman" w:hAnsi="Times New Roman" w:eastAsia="游明朝" w:cs="Times New Roman"/>
                <w:sz w:val="20"/>
                <w:szCs w:val="20"/>
                <w:lang w:eastAsia="ja-JP"/>
              </w:rPr>
              <w:t>&gt;</w:t>
            </w:r>
          </w:p>
          <w:p>
            <w:pPr>
              <w:overflowPunct w:val="0"/>
              <w:autoSpaceDE w:val="0"/>
              <w:autoSpaceDN w:val="0"/>
              <w:adjustRightInd w:val="0"/>
              <w:spacing w:after="18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In 1</w:t>
            </w:r>
            <w:r>
              <w:rPr>
                <w:rFonts w:hint="default" w:ascii="Times New Roman" w:hAnsi="Times New Roman" w:eastAsia="游明朝" w:cs="Times New Roman"/>
                <w:sz w:val="20"/>
                <w:szCs w:val="20"/>
                <w:vertAlign w:val="superscript"/>
                <w:lang w:eastAsia="ja-JP"/>
              </w:rPr>
              <w:t>st</w:t>
            </w:r>
            <w:r>
              <w:rPr>
                <w:rFonts w:hint="default" w:ascii="Times New Roman" w:hAnsi="Times New Roman" w:eastAsia="游明朝" w:cs="Times New Roman"/>
                <w:sz w:val="20"/>
                <w:szCs w:val="20"/>
                <w:lang w:eastAsia="ja-JP"/>
              </w:rPr>
              <w:t xml:space="preserve"> round, moderator confirmed that Option.1’s proponent doesn’t intend to develop Type 4a/4b in this meeting.</w:t>
            </w:r>
          </w:p>
          <w:p>
            <w:pPr>
              <w:overflowPunct w:val="0"/>
              <w:autoSpaceDE w:val="0"/>
              <w:autoSpaceDN w:val="0"/>
              <w:adjustRightInd w:val="0"/>
              <w:spacing w:after="180"/>
              <w:textAlignment w:val="baseline"/>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 xml:space="preserve">Way Forward: </w:t>
            </w:r>
          </w:p>
          <w:p>
            <w:pPr>
              <w:numPr>
                <w:ilvl w:val="0"/>
                <w:numId w:val="8"/>
              </w:numPr>
              <w:overflowPunct w:val="0"/>
              <w:autoSpaceDE w:val="0"/>
              <w:autoSpaceDN w:val="0"/>
              <w:adjustRightInd w:val="0"/>
              <w:spacing w:after="180"/>
              <w:textAlignment w:val="baseline"/>
              <w:rPr>
                <w:rFonts w:hint="default" w:ascii="Times New Roman" w:hAnsi="Times New Roman" w:eastAsia="游明朝" w:cs="Times New Roman"/>
                <w:sz w:val="20"/>
                <w:szCs w:val="20"/>
                <w:lang w:eastAsia="ja-JP"/>
              </w:rPr>
            </w:pPr>
            <w:r>
              <w:rPr>
                <w:rFonts w:hint="default" w:ascii="Times New Roman" w:hAnsi="Times New Roman" w:cs="Times New Roman"/>
                <w:sz w:val="20"/>
                <w:szCs w:val="20"/>
                <w:lang w:val="en-US"/>
              </w:rPr>
              <w:t>Prioritize</w:t>
            </w:r>
            <w:r>
              <w:rPr>
                <w:rFonts w:hint="default" w:ascii="Times New Roman" w:hAnsi="Times New Roman" w:cs="Times New Roman"/>
                <w:sz w:val="20"/>
                <w:szCs w:val="20"/>
              </w:rPr>
              <w:t xml:space="preserve"> the topic on the architecture and RF/RRM requirements for Type 3a/3b UE in this meeting.</w:t>
            </w:r>
          </w:p>
          <w:p>
            <w:pPr>
              <w:numPr>
                <w:ilvl w:val="0"/>
                <w:numId w:val="8"/>
              </w:numPr>
              <w:overflowPunct w:val="0"/>
              <w:autoSpaceDE w:val="0"/>
              <w:autoSpaceDN w:val="0"/>
              <w:adjustRightInd w:val="0"/>
              <w:spacing w:after="18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In case of discussing Type 4a/4b in future meeting, continue further discussion based on the following reference UE architecture.</w:t>
            </w:r>
          </w:p>
          <w:tbl>
            <w:tblPr>
              <w:tblStyle w:val="22"/>
              <w:tblW w:w="9660" w:type="dxa"/>
              <w:jc w:val="center"/>
              <w:tblLayout w:type="fixed"/>
              <w:tblCellMar>
                <w:top w:w="0" w:type="dxa"/>
                <w:left w:w="108" w:type="dxa"/>
                <w:bottom w:w="0" w:type="dxa"/>
                <w:right w:w="108" w:type="dxa"/>
              </w:tblCellMar>
            </w:tblPr>
            <w:tblGrid>
              <w:gridCol w:w="670"/>
              <w:gridCol w:w="514"/>
              <w:gridCol w:w="315"/>
              <w:gridCol w:w="611"/>
              <w:gridCol w:w="790"/>
              <w:gridCol w:w="920"/>
              <w:gridCol w:w="640"/>
              <w:gridCol w:w="980"/>
              <w:gridCol w:w="1160"/>
              <w:gridCol w:w="3060"/>
            </w:tblGrid>
            <w:tr>
              <w:tblPrEx>
                <w:tblCellMar>
                  <w:top w:w="0" w:type="dxa"/>
                  <w:left w:w="108" w:type="dxa"/>
                  <w:bottom w:w="0" w:type="dxa"/>
                  <w:right w:w="108" w:type="dxa"/>
                </w:tblCellMar>
              </w:tblPrEx>
              <w:trPr>
                <w:trHeight w:val="70" w:hRule="atLeast"/>
                <w:jc w:val="center"/>
              </w:trPr>
              <w:tc>
                <w:tcPr>
                  <w:tcW w:w="670" w:type="dxa"/>
                  <w:tcBorders>
                    <w:top w:val="single" w:color="auto" w:sz="4" w:space="0"/>
                    <w:left w:val="single" w:color="auto" w:sz="4" w:space="0"/>
                    <w:bottom w:val="single" w:color="auto" w:sz="4" w:space="0"/>
                    <w:right w:val="single" w:color="auto" w:sz="4" w:space="0"/>
                  </w:tcBorders>
                  <w:shd w:val="clear" w:color="auto" w:fill="DEEAF6"/>
                  <w:noWrap w:val="0"/>
                  <w:vAlign w:val="top"/>
                </w:tcPr>
                <w:p>
                  <w:pPr>
                    <w:adjustRightInd w:val="0"/>
                    <w:snapToGrid w:val="0"/>
                    <w:spacing w:beforeLines="0" w:after="0" w:afterLines="0" w:line="240" w:lineRule="auto"/>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UE</w:t>
                  </w:r>
                </w:p>
                <w:p>
                  <w:pPr>
                    <w:adjustRightInd w:val="0"/>
                    <w:snapToGrid w:val="0"/>
                    <w:spacing w:beforeLines="0" w:after="0" w:afterLines="0" w:line="240" w:lineRule="auto"/>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Type</w:t>
                  </w:r>
                </w:p>
              </w:tc>
              <w:tc>
                <w:tcPr>
                  <w:tcW w:w="514" w:type="dxa"/>
                  <w:tcBorders>
                    <w:top w:val="single" w:color="auto" w:sz="4" w:space="0"/>
                    <w:left w:val="nil"/>
                    <w:bottom w:val="single" w:color="auto" w:sz="4" w:space="0"/>
                    <w:right w:val="single" w:color="auto" w:sz="4" w:space="0"/>
                  </w:tcBorders>
                  <w:shd w:val="clear" w:color="auto" w:fill="DEEAF6"/>
                  <w:noWrap/>
                  <w:vAlign w:val="bottom"/>
                </w:tcPr>
                <w:p>
                  <w:pPr>
                    <w:adjustRightInd w:val="0"/>
                    <w:snapToGrid w:val="0"/>
                    <w:spacing w:beforeLines="0" w:after="0" w:afterLines="0" w:line="240" w:lineRule="auto"/>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CC#</w:t>
                  </w:r>
                </w:p>
              </w:tc>
              <w:tc>
                <w:tcPr>
                  <w:tcW w:w="926" w:type="dxa"/>
                  <w:gridSpan w:val="2"/>
                  <w:tcBorders>
                    <w:top w:val="single" w:color="auto" w:sz="4" w:space="0"/>
                    <w:left w:val="nil"/>
                    <w:bottom w:val="single" w:color="auto" w:sz="4" w:space="0"/>
                    <w:right w:val="single" w:color="auto" w:sz="4" w:space="0"/>
                  </w:tcBorders>
                  <w:shd w:val="clear" w:color="auto" w:fill="DEEAF6"/>
                  <w:noWrap w:val="0"/>
                  <w:vAlign w:val="bottom"/>
                </w:tcPr>
                <w:p>
                  <w:pPr>
                    <w:adjustRightInd w:val="0"/>
                    <w:snapToGrid w:val="0"/>
                    <w:spacing w:beforeLines="0" w:after="0" w:afterLines="0" w:line="240" w:lineRule="auto"/>
                    <w:jc w:val="both"/>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antenna</w:t>
                  </w:r>
                  <w:r>
                    <w:rPr>
                      <w:rFonts w:hint="default" w:ascii="Times New Roman" w:hAnsi="Times New Roman" w:cs="Times New Roman"/>
                      <w:b/>
                      <w:color w:val="000000"/>
                      <w:sz w:val="20"/>
                      <w:szCs w:val="20"/>
                    </w:rPr>
                    <w:br w:type="textWrapping"/>
                  </w:r>
                  <w:r>
                    <w:rPr>
                      <w:rFonts w:hint="default" w:ascii="Times New Roman" w:hAnsi="Times New Roman" w:cs="Times New Roman"/>
                      <w:b/>
                      <w:color w:val="000000"/>
                      <w:sz w:val="20"/>
                      <w:szCs w:val="20"/>
                    </w:rPr>
                    <w:t>/ LNA</w:t>
                  </w:r>
                </w:p>
              </w:tc>
              <w:tc>
                <w:tcPr>
                  <w:tcW w:w="790" w:type="dxa"/>
                  <w:tcBorders>
                    <w:top w:val="single" w:color="auto" w:sz="4" w:space="0"/>
                    <w:left w:val="nil"/>
                    <w:bottom w:val="single" w:color="auto" w:sz="4" w:space="0"/>
                    <w:right w:val="single" w:color="auto" w:sz="4" w:space="0"/>
                  </w:tcBorders>
                  <w:shd w:val="clear" w:color="auto" w:fill="DEEAF6"/>
                  <w:noWrap w:val="0"/>
                  <w:vAlign w:val="bottom"/>
                </w:tcPr>
                <w:p>
                  <w:pPr>
                    <w:adjustRightInd w:val="0"/>
                    <w:snapToGrid w:val="0"/>
                    <w:spacing w:beforeLines="0" w:after="0" w:afterLines="0" w:line="240" w:lineRule="auto"/>
                    <w:jc w:val="both"/>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Mixer</w:t>
                  </w:r>
                </w:p>
              </w:tc>
              <w:tc>
                <w:tcPr>
                  <w:tcW w:w="920" w:type="dxa"/>
                  <w:tcBorders>
                    <w:top w:val="single" w:color="auto" w:sz="4" w:space="0"/>
                    <w:left w:val="nil"/>
                    <w:bottom w:val="single" w:color="auto" w:sz="4" w:space="0"/>
                    <w:right w:val="single" w:color="auto" w:sz="4" w:space="0"/>
                  </w:tcBorders>
                  <w:shd w:val="clear" w:color="auto" w:fill="DEEAF6"/>
                  <w:noWrap w:val="0"/>
                  <w:vAlign w:val="bottom"/>
                </w:tcPr>
                <w:p>
                  <w:pPr>
                    <w:adjustRightInd w:val="0"/>
                    <w:snapToGrid w:val="0"/>
                    <w:spacing w:beforeLines="0" w:after="0" w:afterLines="0" w:line="240" w:lineRule="auto"/>
                    <w:jc w:val="both"/>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Analog</w:t>
                  </w:r>
                </w:p>
                <w:p>
                  <w:pPr>
                    <w:adjustRightInd w:val="0"/>
                    <w:snapToGrid w:val="0"/>
                    <w:spacing w:beforeLines="0" w:after="0" w:afterLines="0" w:line="240" w:lineRule="auto"/>
                    <w:jc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BB</w:t>
                  </w:r>
                </w:p>
              </w:tc>
              <w:tc>
                <w:tcPr>
                  <w:tcW w:w="640" w:type="dxa"/>
                  <w:tcBorders>
                    <w:top w:val="single" w:color="auto" w:sz="4" w:space="0"/>
                    <w:left w:val="nil"/>
                    <w:bottom w:val="single" w:color="auto" w:sz="4" w:space="0"/>
                    <w:right w:val="single" w:color="auto" w:sz="4" w:space="0"/>
                  </w:tcBorders>
                  <w:shd w:val="clear" w:color="auto" w:fill="DEEAF6"/>
                  <w:noWrap w:val="0"/>
                  <w:vAlign w:val="bottom"/>
                </w:tcPr>
                <w:p>
                  <w:pPr>
                    <w:adjustRightInd w:val="0"/>
                    <w:snapToGrid w:val="0"/>
                    <w:spacing w:beforeLines="0" w:after="0" w:afterLines="0" w:line="240" w:lineRule="auto"/>
                    <w:jc w:val="both"/>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#Rx</w:t>
                  </w:r>
                </w:p>
              </w:tc>
              <w:tc>
                <w:tcPr>
                  <w:tcW w:w="980" w:type="dxa"/>
                  <w:tcBorders>
                    <w:top w:val="single" w:color="auto" w:sz="4" w:space="0"/>
                    <w:left w:val="single" w:color="auto" w:sz="4" w:space="0"/>
                    <w:bottom w:val="single" w:color="auto" w:sz="4" w:space="0"/>
                    <w:right w:val="single" w:color="auto" w:sz="4" w:space="0"/>
                  </w:tcBorders>
                  <w:shd w:val="clear" w:color="auto" w:fill="DEEAF6"/>
                  <w:noWrap w:val="0"/>
                  <w:vAlign w:val="top"/>
                </w:tcPr>
                <w:p>
                  <w:pPr>
                    <w:adjustRightInd w:val="0"/>
                    <w:snapToGrid w:val="0"/>
                    <w:spacing w:beforeLines="0" w:after="0" w:afterLines="0" w:line="240" w:lineRule="auto"/>
                    <w:rPr>
                      <w:rFonts w:hint="default" w:ascii="Times New Roman" w:hAnsi="Times New Roman" w:eastAsia="游明朝" w:cs="Times New Roman"/>
                      <w:b/>
                      <w:color w:val="000000"/>
                      <w:sz w:val="20"/>
                      <w:szCs w:val="20"/>
                      <w:lang w:eastAsia="ja-JP"/>
                    </w:rPr>
                  </w:pPr>
                  <w:r>
                    <w:rPr>
                      <w:rFonts w:hint="default" w:ascii="Times New Roman" w:hAnsi="Times New Roman" w:eastAsia="游明朝" w:cs="Times New Roman"/>
                      <w:b/>
                      <w:color w:val="000000"/>
                      <w:sz w:val="20"/>
                      <w:szCs w:val="20"/>
                      <w:lang w:eastAsia="ja-JP"/>
                    </w:rPr>
                    <w:t>NRCA/</w:t>
                  </w:r>
                </w:p>
                <w:p>
                  <w:pPr>
                    <w:adjustRightInd w:val="0"/>
                    <w:snapToGrid w:val="0"/>
                    <w:spacing w:beforeLines="0" w:after="0" w:afterLines="0" w:line="240" w:lineRule="auto"/>
                    <w:rPr>
                      <w:rFonts w:hint="default" w:ascii="Times New Roman" w:hAnsi="Times New Roman" w:eastAsia="游明朝" w:cs="Times New Roman"/>
                      <w:b/>
                      <w:color w:val="000000"/>
                      <w:sz w:val="20"/>
                      <w:szCs w:val="20"/>
                      <w:lang w:eastAsia="ja-JP"/>
                    </w:rPr>
                  </w:pPr>
                  <w:r>
                    <w:rPr>
                      <w:rFonts w:hint="default" w:ascii="Times New Roman" w:hAnsi="Times New Roman" w:eastAsia="游明朝" w:cs="Times New Roman"/>
                      <w:b/>
                      <w:color w:val="000000"/>
                      <w:sz w:val="20"/>
                      <w:szCs w:val="20"/>
                      <w:lang w:eastAsia="ja-JP"/>
                    </w:rPr>
                    <w:t>ENDC</w:t>
                  </w:r>
                </w:p>
              </w:tc>
              <w:tc>
                <w:tcPr>
                  <w:tcW w:w="1160" w:type="dxa"/>
                  <w:tcBorders>
                    <w:top w:val="single" w:color="auto" w:sz="4" w:space="0"/>
                    <w:left w:val="single" w:color="auto" w:sz="4" w:space="0"/>
                    <w:bottom w:val="single" w:color="auto" w:sz="4" w:space="0"/>
                    <w:right w:val="single" w:color="auto" w:sz="4" w:space="0"/>
                  </w:tcBorders>
                  <w:shd w:val="clear" w:color="auto" w:fill="DEEAF6"/>
                  <w:noWrap w:val="0"/>
                  <w:vAlign w:val="bottom"/>
                </w:tcPr>
                <w:p>
                  <w:pPr>
                    <w:adjustRightInd w:val="0"/>
                    <w:snapToGrid w:val="0"/>
                    <w:spacing w:beforeLines="0" w:after="0" w:afterLines="0" w:line="240" w:lineRule="auto"/>
                    <w:rPr>
                      <w:rFonts w:hint="default" w:ascii="Times New Roman" w:hAnsi="Times New Roman" w:eastAsia="游明朝" w:cs="Times New Roman"/>
                      <w:b/>
                      <w:color w:val="000000"/>
                      <w:sz w:val="20"/>
                      <w:szCs w:val="20"/>
                      <w:lang w:eastAsia="ja-JP"/>
                    </w:rPr>
                  </w:pPr>
                  <w:r>
                    <w:rPr>
                      <w:rFonts w:hint="default" w:ascii="Times New Roman" w:hAnsi="Times New Roman" w:eastAsia="游明朝" w:cs="Times New Roman"/>
                      <w:b/>
                      <w:color w:val="000000"/>
                      <w:sz w:val="20"/>
                      <w:szCs w:val="20"/>
                      <w:lang w:eastAsia="ja-JP"/>
                    </w:rPr>
                    <w:t>power</w:t>
                  </w:r>
                </w:p>
                <w:p>
                  <w:pPr>
                    <w:adjustRightInd w:val="0"/>
                    <w:snapToGrid w:val="0"/>
                    <w:spacing w:beforeLines="0" w:after="0" w:afterLines="0" w:line="240" w:lineRule="auto"/>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imbalance</w:t>
                  </w:r>
                </w:p>
              </w:tc>
              <w:tc>
                <w:tcPr>
                  <w:tcW w:w="3060" w:type="dxa"/>
                  <w:tcBorders>
                    <w:top w:val="single" w:color="auto" w:sz="4" w:space="0"/>
                    <w:left w:val="nil"/>
                    <w:bottom w:val="single" w:color="auto" w:sz="4" w:space="0"/>
                    <w:right w:val="single" w:color="auto" w:sz="4" w:space="0"/>
                  </w:tcBorders>
                  <w:shd w:val="clear" w:color="auto" w:fill="DEEAF6"/>
                  <w:noWrap/>
                  <w:vAlign w:val="bottom"/>
                </w:tcPr>
                <w:p>
                  <w:pPr>
                    <w:adjustRightInd w:val="0"/>
                    <w:snapToGrid w:val="0"/>
                    <w:spacing w:beforeLines="0" w:after="0" w:afterLines="0" w:line="240" w:lineRule="auto"/>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comment</w:t>
                  </w:r>
                </w:p>
              </w:tc>
            </w:tr>
            <w:tr>
              <w:tblPrEx>
                <w:tblCellMar>
                  <w:top w:w="0" w:type="dxa"/>
                  <w:left w:w="108" w:type="dxa"/>
                  <w:bottom w:w="0" w:type="dxa"/>
                  <w:right w:w="108" w:type="dxa"/>
                </w:tblCellMar>
              </w:tblPrEx>
              <w:trPr>
                <w:trHeight w:val="70" w:hRule="atLeast"/>
                <w:jc w:val="center"/>
              </w:trPr>
              <w:tc>
                <w:tcPr>
                  <w:tcW w:w="670" w:type="dxa"/>
                  <w:vMerge w:val="restart"/>
                  <w:tcBorders>
                    <w:top w:val="nil"/>
                    <w:left w:val="single" w:color="auto" w:sz="4" w:space="0"/>
                    <w:right w:val="single" w:color="auto" w:sz="4" w:space="0"/>
                  </w:tcBorders>
                  <w:shd w:val="clear" w:color="auto" w:fill="auto"/>
                  <w:noWrap w:val="0"/>
                  <w:vAlign w:val="top"/>
                </w:tcPr>
                <w:p>
                  <w:pPr>
                    <w:adjustRightInd w:val="0"/>
                    <w:snapToGrid w:val="0"/>
                    <w:spacing w:beforeLines="0" w:after="0" w:afterLines="0" w:line="240" w:lineRule="auto"/>
                    <w:jc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4a</w:t>
                  </w:r>
                </w:p>
              </w:tc>
              <w:tc>
                <w:tcPr>
                  <w:tcW w:w="514"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w:t>
                  </w:r>
                </w:p>
              </w:tc>
              <w:tc>
                <w:tcPr>
                  <w:tcW w:w="315"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w:t>
                  </w:r>
                </w:p>
              </w:tc>
              <w:tc>
                <w:tcPr>
                  <w:tcW w:w="611" w:type="dxa"/>
                  <w:vMerge w:val="restart"/>
                  <w:tcBorders>
                    <w:top w:val="nil"/>
                    <w:left w:val="nil"/>
                    <w:right w:val="single" w:color="auto" w:sz="4" w:space="0"/>
                  </w:tcBorders>
                  <w:shd w:val="clear" w:color="auto" w:fill="auto"/>
                  <w:noWrap w:val="0"/>
                  <w:vAlign w:val="bottom"/>
                </w:tcPr>
                <w:p>
                  <w:pPr>
                    <w:adjustRightInd w:val="0"/>
                    <w:snapToGrid w:val="0"/>
                    <w:spacing w:beforeLines="0" w:after="0" w:afterLines="0" w:line="240" w:lineRule="auto"/>
                    <w:jc w:val="center"/>
                    <w:rPr>
                      <w:rFonts w:hint="default" w:ascii="Times New Roman" w:hAnsi="Times New Roman" w:eastAsia="游明朝" w:cs="Times New Roman"/>
                      <w:color w:val="000000"/>
                      <w:sz w:val="20"/>
                      <w:szCs w:val="20"/>
                      <w:lang w:eastAsia="ja-JP"/>
                    </w:rPr>
                  </w:pPr>
                  <w:r>
                    <w:rPr>
                      <w:rFonts w:hint="default" w:ascii="Times New Roman" w:hAnsi="Times New Roman" w:eastAsia="游明朝" w:cs="Times New Roman"/>
                      <w:color w:val="000000"/>
                      <w:sz w:val="20"/>
                      <w:szCs w:val="20"/>
                      <w:lang w:eastAsia="ja-JP"/>
                    </w:rPr>
                    <w:t>6</w:t>
                  </w:r>
                </w:p>
                <w:p>
                  <w:pPr>
                    <w:adjustRightInd w:val="0"/>
                    <w:snapToGrid w:val="0"/>
                    <w:spacing w:beforeLines="0" w:after="0" w:afterLines="0" w:line="240" w:lineRule="auto"/>
                    <w:jc w:val="center"/>
                    <w:rPr>
                      <w:rFonts w:hint="default" w:ascii="Times New Roman" w:hAnsi="Times New Roman" w:eastAsia="游明朝" w:cs="Times New Roman"/>
                      <w:color w:val="000000"/>
                      <w:sz w:val="20"/>
                      <w:szCs w:val="20"/>
                      <w:lang w:eastAsia="ja-JP"/>
                    </w:rPr>
                  </w:pPr>
                  <w:r>
                    <w:rPr>
                      <w:rFonts w:hint="default" w:ascii="Times New Roman" w:hAnsi="Times New Roman" w:eastAsia="游明朝" w:cs="Times New Roman"/>
                      <w:color w:val="000000"/>
                      <w:sz w:val="20"/>
                      <w:szCs w:val="20"/>
                      <w:lang w:eastAsia="ja-JP"/>
                    </w:rPr>
                    <w:t>total</w:t>
                  </w:r>
                </w:p>
              </w:tc>
              <w:tc>
                <w:tcPr>
                  <w:tcW w:w="790"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w:t>
                  </w:r>
                </w:p>
              </w:tc>
              <w:tc>
                <w:tcPr>
                  <w:tcW w:w="920"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w:t>
                  </w:r>
                </w:p>
              </w:tc>
              <w:tc>
                <w:tcPr>
                  <w:tcW w:w="640"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4Rx</w:t>
                  </w:r>
                </w:p>
              </w:tc>
              <w:tc>
                <w:tcPr>
                  <w:tcW w:w="980" w:type="dxa"/>
                  <w:vMerge w:val="restart"/>
                  <w:tcBorders>
                    <w:top w:val="nil"/>
                    <w:left w:val="single" w:color="auto" w:sz="4" w:space="0"/>
                    <w:right w:val="single" w:color="auto" w:sz="4" w:space="0"/>
                  </w:tcBorders>
                  <w:shd w:val="clear" w:color="auto" w:fill="auto"/>
                  <w:noWrap w:val="0"/>
                  <w:vAlign w:val="top"/>
                </w:tcPr>
                <w:p>
                  <w:pPr>
                    <w:adjustRightInd w:val="0"/>
                    <w:snapToGrid w:val="0"/>
                    <w:spacing w:beforeLines="0" w:after="0" w:afterLines="0" w:line="240" w:lineRule="auto"/>
                    <w:jc w:val="center"/>
                    <w:rPr>
                      <w:rFonts w:hint="default" w:ascii="Times New Roman" w:hAnsi="Times New Roman" w:eastAsia="游明朝" w:cs="Times New Roman"/>
                      <w:color w:val="000000"/>
                      <w:sz w:val="20"/>
                      <w:szCs w:val="20"/>
                      <w:lang w:eastAsia="ja-JP"/>
                    </w:rPr>
                  </w:pPr>
                  <w:r>
                    <w:rPr>
                      <w:rFonts w:hint="default" w:ascii="Times New Roman" w:hAnsi="Times New Roman" w:eastAsia="游明朝" w:cs="Times New Roman"/>
                      <w:color w:val="000000"/>
                      <w:sz w:val="20"/>
                      <w:szCs w:val="20"/>
                      <w:lang w:eastAsia="ja-JP"/>
                    </w:rPr>
                    <w:t>ENDC</w:t>
                  </w:r>
                </w:p>
              </w:tc>
              <w:tc>
                <w:tcPr>
                  <w:tcW w:w="1160" w:type="dxa"/>
                  <w:vMerge w:val="restart"/>
                  <w:tcBorders>
                    <w:top w:val="nil"/>
                    <w:left w:val="single" w:color="auto" w:sz="4" w:space="0"/>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25dB</w:t>
                  </w:r>
                  <w:r>
                    <w:rPr>
                      <w:rFonts w:hint="default" w:ascii="Times New Roman" w:hAnsi="Times New Roman" w:cs="Times New Roman"/>
                      <w:color w:val="000000"/>
                      <w:sz w:val="20"/>
                      <w:szCs w:val="20"/>
                    </w:rPr>
                    <w:br w:type="textWrapping"/>
                  </w:r>
                  <w:r>
                    <w:rPr>
                      <w:rFonts w:hint="default" w:ascii="Times New Roman" w:hAnsi="Times New Roman" w:cs="Times New Roman"/>
                      <w:color w:val="000000"/>
                      <w:sz w:val="20"/>
                      <w:szCs w:val="20"/>
                    </w:rPr>
                    <w:t>full range</w:t>
                  </w:r>
                </w:p>
              </w:tc>
              <w:tc>
                <w:tcPr>
                  <w:tcW w:w="3060" w:type="dxa"/>
                  <w:vMerge w:val="restart"/>
                  <w:tcBorders>
                    <w:top w:val="nil"/>
                    <w:left w:val="single" w:color="auto" w:sz="4" w:space="0"/>
                    <w:bottom w:val="single" w:color="auto" w:sz="4" w:space="0"/>
                    <w:right w:val="single" w:color="auto" w:sz="4" w:space="0"/>
                  </w:tcBorders>
                  <w:shd w:val="clear" w:color="auto" w:fill="auto"/>
                  <w:noWrap w:val="0"/>
                  <w:vAlign w:val="bottom"/>
                </w:tcPr>
                <w:p>
                  <w:pPr>
                    <w:adjustRightInd w:val="0"/>
                    <w:snapToGrid w:val="0"/>
                    <w:spacing w:beforeLines="0" w:after="0" w:afterLines="0" w:line="240" w:lineRule="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Requires 6 antennas and LNA =&gt; FWA only</w:t>
                  </w:r>
                </w:p>
              </w:tc>
            </w:tr>
            <w:tr>
              <w:tblPrEx>
                <w:tblCellMar>
                  <w:top w:w="0" w:type="dxa"/>
                  <w:left w:w="108" w:type="dxa"/>
                  <w:bottom w:w="0" w:type="dxa"/>
                  <w:right w:w="108" w:type="dxa"/>
                </w:tblCellMar>
              </w:tblPrEx>
              <w:trPr>
                <w:trHeight w:val="70" w:hRule="atLeast"/>
                <w:jc w:val="center"/>
              </w:trPr>
              <w:tc>
                <w:tcPr>
                  <w:tcW w:w="67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beforeLines="0" w:after="0" w:afterLines="0" w:line="240" w:lineRule="auto"/>
                    <w:rPr>
                      <w:rFonts w:hint="default" w:ascii="Times New Roman" w:hAnsi="Times New Roman" w:cs="Times New Roman"/>
                      <w:color w:val="000000"/>
                      <w:sz w:val="20"/>
                      <w:szCs w:val="20"/>
                    </w:rPr>
                  </w:pPr>
                </w:p>
              </w:tc>
              <w:tc>
                <w:tcPr>
                  <w:tcW w:w="514"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w:t>
                  </w:r>
                </w:p>
              </w:tc>
              <w:tc>
                <w:tcPr>
                  <w:tcW w:w="315"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w:t>
                  </w:r>
                </w:p>
              </w:tc>
              <w:tc>
                <w:tcPr>
                  <w:tcW w:w="611" w:type="dxa"/>
                  <w:vMerge w:val="continue"/>
                  <w:tcBorders>
                    <w:left w:val="nil"/>
                    <w:bottom w:val="single" w:color="auto" w:sz="4" w:space="0"/>
                    <w:right w:val="single" w:color="auto" w:sz="4" w:space="0"/>
                  </w:tcBorders>
                  <w:shd w:val="clear" w:color="auto" w:fill="auto"/>
                  <w:noWrap w:val="0"/>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p>
              </w:tc>
              <w:tc>
                <w:tcPr>
                  <w:tcW w:w="790"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w:t>
                  </w:r>
                </w:p>
              </w:tc>
              <w:tc>
                <w:tcPr>
                  <w:tcW w:w="920"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w:t>
                  </w:r>
                </w:p>
              </w:tc>
              <w:tc>
                <w:tcPr>
                  <w:tcW w:w="640"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2Rx</w:t>
                  </w:r>
                </w:p>
              </w:tc>
              <w:tc>
                <w:tcPr>
                  <w:tcW w:w="980" w:type="dxa"/>
                  <w:vMerge w:val="continue"/>
                  <w:tcBorders>
                    <w:left w:val="single" w:color="auto" w:sz="4" w:space="0"/>
                    <w:bottom w:val="single" w:color="auto" w:sz="4" w:space="0"/>
                    <w:right w:val="single" w:color="auto" w:sz="4" w:space="0"/>
                  </w:tcBorders>
                  <w:noWrap w:val="0"/>
                  <w:vAlign w:val="top"/>
                </w:tcPr>
                <w:p>
                  <w:pPr>
                    <w:adjustRightInd w:val="0"/>
                    <w:snapToGrid w:val="0"/>
                    <w:spacing w:beforeLines="0" w:after="0" w:afterLines="0" w:line="240" w:lineRule="auto"/>
                    <w:jc w:val="center"/>
                    <w:rPr>
                      <w:rFonts w:hint="default" w:ascii="Times New Roman" w:hAnsi="Times New Roman" w:cs="Times New Roman"/>
                      <w:color w:val="000000"/>
                      <w:sz w:val="20"/>
                      <w:szCs w:val="20"/>
                    </w:rPr>
                  </w:pPr>
                </w:p>
              </w:tc>
              <w:tc>
                <w:tcPr>
                  <w:tcW w:w="1160" w:type="dxa"/>
                  <w:vMerge w:val="continue"/>
                  <w:tcBorders>
                    <w:top w:val="nil"/>
                    <w:left w:val="single" w:color="auto" w:sz="4" w:space="0"/>
                    <w:bottom w:val="single" w:color="auto" w:sz="4" w:space="0"/>
                    <w:right w:val="single" w:color="auto" w:sz="4" w:space="0"/>
                  </w:tcBorders>
                  <w:noWrap w:val="0"/>
                  <w:vAlign w:val="center"/>
                </w:tcPr>
                <w:p>
                  <w:pPr>
                    <w:adjustRightInd w:val="0"/>
                    <w:snapToGrid w:val="0"/>
                    <w:spacing w:beforeLines="0" w:after="0" w:afterLines="0" w:line="240" w:lineRule="auto"/>
                    <w:rPr>
                      <w:rFonts w:hint="default" w:ascii="Times New Roman" w:hAnsi="Times New Roman" w:cs="Times New Roman"/>
                      <w:color w:val="000000"/>
                      <w:sz w:val="20"/>
                      <w:szCs w:val="20"/>
                    </w:rPr>
                  </w:pPr>
                </w:p>
              </w:tc>
              <w:tc>
                <w:tcPr>
                  <w:tcW w:w="3060" w:type="dxa"/>
                  <w:vMerge w:val="continue"/>
                  <w:tcBorders>
                    <w:top w:val="nil"/>
                    <w:left w:val="single" w:color="auto" w:sz="4" w:space="0"/>
                    <w:bottom w:val="single" w:color="auto" w:sz="4" w:space="0"/>
                    <w:right w:val="single" w:color="auto" w:sz="4" w:space="0"/>
                  </w:tcBorders>
                  <w:noWrap w:val="0"/>
                  <w:vAlign w:val="center"/>
                </w:tcPr>
                <w:p>
                  <w:pPr>
                    <w:adjustRightInd w:val="0"/>
                    <w:snapToGrid w:val="0"/>
                    <w:spacing w:beforeLines="0" w:after="0" w:afterLines="0" w:line="240" w:lineRule="auto"/>
                    <w:rPr>
                      <w:rFonts w:hint="default" w:ascii="Times New Roman" w:hAnsi="Times New Roman" w:cs="Times New Roman"/>
                      <w:color w:val="000000"/>
                      <w:sz w:val="20"/>
                      <w:szCs w:val="20"/>
                    </w:rPr>
                  </w:pPr>
                </w:p>
              </w:tc>
            </w:tr>
            <w:tr>
              <w:tblPrEx>
                <w:tblCellMar>
                  <w:top w:w="0" w:type="dxa"/>
                  <w:left w:w="108" w:type="dxa"/>
                  <w:bottom w:w="0" w:type="dxa"/>
                  <w:right w:w="108" w:type="dxa"/>
                </w:tblCellMar>
              </w:tblPrEx>
              <w:trPr>
                <w:trHeight w:val="70" w:hRule="atLeast"/>
                <w:jc w:val="center"/>
              </w:trPr>
              <w:tc>
                <w:tcPr>
                  <w:tcW w:w="670" w:type="dxa"/>
                  <w:vMerge w:val="restart"/>
                  <w:tcBorders>
                    <w:top w:val="nil"/>
                    <w:left w:val="single" w:color="auto" w:sz="4" w:space="0"/>
                    <w:right w:val="single" w:color="auto" w:sz="4" w:space="0"/>
                  </w:tcBorders>
                  <w:shd w:val="clear" w:color="auto" w:fill="auto"/>
                  <w:noWrap w:val="0"/>
                  <w:vAlign w:val="top"/>
                </w:tcPr>
                <w:p>
                  <w:pPr>
                    <w:adjustRightInd w:val="0"/>
                    <w:snapToGrid w:val="0"/>
                    <w:spacing w:beforeLines="0" w:after="0" w:afterLines="0" w:line="240" w:lineRule="auto"/>
                    <w:jc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4b</w:t>
                  </w:r>
                </w:p>
              </w:tc>
              <w:tc>
                <w:tcPr>
                  <w:tcW w:w="514"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w:t>
                  </w:r>
                </w:p>
              </w:tc>
              <w:tc>
                <w:tcPr>
                  <w:tcW w:w="315"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w:t>
                  </w:r>
                </w:p>
              </w:tc>
              <w:tc>
                <w:tcPr>
                  <w:tcW w:w="611" w:type="dxa"/>
                  <w:vMerge w:val="restart"/>
                  <w:tcBorders>
                    <w:top w:val="nil"/>
                    <w:left w:val="nil"/>
                    <w:right w:val="single" w:color="auto" w:sz="4" w:space="0"/>
                  </w:tcBorders>
                  <w:shd w:val="clear" w:color="auto" w:fill="auto"/>
                  <w:noWrap w:val="0"/>
                  <w:vAlign w:val="bottom"/>
                </w:tcPr>
                <w:p>
                  <w:pPr>
                    <w:adjustRightInd w:val="0"/>
                    <w:snapToGrid w:val="0"/>
                    <w:spacing w:beforeLines="0" w:after="0" w:afterLines="0" w:line="240" w:lineRule="auto"/>
                    <w:jc w:val="center"/>
                    <w:rPr>
                      <w:rFonts w:hint="default" w:ascii="Times New Roman" w:hAnsi="Times New Roman" w:eastAsia="游明朝" w:cs="Times New Roman"/>
                      <w:color w:val="000000"/>
                      <w:sz w:val="20"/>
                      <w:szCs w:val="20"/>
                      <w:lang w:eastAsia="ja-JP"/>
                    </w:rPr>
                  </w:pPr>
                  <w:r>
                    <w:rPr>
                      <w:rFonts w:hint="default" w:ascii="Times New Roman" w:hAnsi="Times New Roman" w:eastAsia="游明朝" w:cs="Times New Roman"/>
                      <w:color w:val="000000"/>
                      <w:sz w:val="20"/>
                      <w:szCs w:val="20"/>
                      <w:lang w:eastAsia="ja-JP"/>
                    </w:rPr>
                    <w:t>8</w:t>
                  </w:r>
                </w:p>
                <w:p>
                  <w:pPr>
                    <w:adjustRightInd w:val="0"/>
                    <w:snapToGrid w:val="0"/>
                    <w:spacing w:beforeLines="0" w:after="0" w:afterLines="0" w:line="240" w:lineRule="auto"/>
                    <w:jc w:val="center"/>
                    <w:rPr>
                      <w:rFonts w:hint="default" w:ascii="Times New Roman" w:hAnsi="Times New Roman" w:eastAsia="游明朝" w:cs="Times New Roman"/>
                      <w:color w:val="000000"/>
                      <w:sz w:val="20"/>
                      <w:szCs w:val="20"/>
                      <w:lang w:eastAsia="ja-JP"/>
                    </w:rPr>
                  </w:pPr>
                  <w:r>
                    <w:rPr>
                      <w:rFonts w:hint="default" w:ascii="Times New Roman" w:hAnsi="Times New Roman" w:eastAsia="游明朝" w:cs="Times New Roman"/>
                      <w:color w:val="000000"/>
                      <w:sz w:val="20"/>
                      <w:szCs w:val="20"/>
                      <w:lang w:eastAsia="ja-JP"/>
                    </w:rPr>
                    <w:t>total</w:t>
                  </w:r>
                </w:p>
              </w:tc>
              <w:tc>
                <w:tcPr>
                  <w:tcW w:w="790"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w:t>
                  </w:r>
                </w:p>
              </w:tc>
              <w:tc>
                <w:tcPr>
                  <w:tcW w:w="920"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w:t>
                  </w:r>
                </w:p>
              </w:tc>
              <w:tc>
                <w:tcPr>
                  <w:tcW w:w="640"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4Rx</w:t>
                  </w:r>
                </w:p>
              </w:tc>
              <w:tc>
                <w:tcPr>
                  <w:tcW w:w="980" w:type="dxa"/>
                  <w:vMerge w:val="restart"/>
                  <w:tcBorders>
                    <w:top w:val="nil"/>
                    <w:left w:val="single" w:color="auto" w:sz="4" w:space="0"/>
                    <w:right w:val="single" w:color="auto" w:sz="4" w:space="0"/>
                  </w:tcBorders>
                  <w:shd w:val="clear" w:color="auto" w:fill="auto"/>
                  <w:noWrap w:val="0"/>
                  <w:vAlign w:val="top"/>
                </w:tcPr>
                <w:p>
                  <w:pPr>
                    <w:adjustRightInd w:val="0"/>
                    <w:snapToGrid w:val="0"/>
                    <w:spacing w:beforeLines="0" w:after="0" w:afterLines="0" w:line="240" w:lineRule="auto"/>
                    <w:jc w:val="center"/>
                    <w:rPr>
                      <w:rFonts w:hint="default" w:ascii="Times New Roman" w:hAnsi="Times New Roman" w:eastAsia="游明朝" w:cs="Times New Roman"/>
                      <w:color w:val="000000"/>
                      <w:sz w:val="20"/>
                      <w:szCs w:val="20"/>
                      <w:lang w:eastAsia="ja-JP"/>
                    </w:rPr>
                  </w:pPr>
                  <w:r>
                    <w:rPr>
                      <w:rFonts w:hint="default" w:ascii="Times New Roman" w:hAnsi="Times New Roman" w:eastAsia="游明朝" w:cs="Times New Roman"/>
                      <w:color w:val="000000"/>
                      <w:sz w:val="20"/>
                      <w:szCs w:val="20"/>
                      <w:lang w:eastAsia="ja-JP"/>
                    </w:rPr>
                    <w:t>NRCA</w:t>
                  </w:r>
                </w:p>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eastAsia="游明朝" w:cs="Times New Roman"/>
                      <w:color w:val="000000"/>
                      <w:sz w:val="20"/>
                      <w:szCs w:val="20"/>
                      <w:lang w:eastAsia="ja-JP"/>
                    </w:rPr>
                    <w:t>ENDC</w:t>
                  </w:r>
                </w:p>
              </w:tc>
              <w:tc>
                <w:tcPr>
                  <w:tcW w:w="1160" w:type="dxa"/>
                  <w:vMerge w:val="restart"/>
                  <w:tcBorders>
                    <w:top w:val="nil"/>
                    <w:left w:val="single" w:color="auto" w:sz="4" w:space="0"/>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25dB</w:t>
                  </w:r>
                  <w:r>
                    <w:rPr>
                      <w:rFonts w:hint="default" w:ascii="Times New Roman" w:hAnsi="Times New Roman" w:cs="Times New Roman"/>
                      <w:color w:val="000000"/>
                      <w:sz w:val="20"/>
                      <w:szCs w:val="20"/>
                    </w:rPr>
                    <w:br w:type="textWrapping"/>
                  </w:r>
                  <w:r>
                    <w:rPr>
                      <w:rFonts w:hint="default" w:ascii="Times New Roman" w:hAnsi="Times New Roman" w:cs="Times New Roman"/>
                      <w:color w:val="000000"/>
                      <w:sz w:val="20"/>
                      <w:szCs w:val="20"/>
                    </w:rPr>
                    <w:t>full range</w:t>
                  </w:r>
                </w:p>
              </w:tc>
              <w:tc>
                <w:tcPr>
                  <w:tcW w:w="3060" w:type="dxa"/>
                  <w:vMerge w:val="restart"/>
                  <w:tcBorders>
                    <w:top w:val="nil"/>
                    <w:left w:val="single" w:color="auto" w:sz="4" w:space="0"/>
                    <w:bottom w:val="single" w:color="auto" w:sz="4" w:space="0"/>
                    <w:right w:val="single" w:color="auto" w:sz="4" w:space="0"/>
                  </w:tcBorders>
                  <w:shd w:val="clear" w:color="auto" w:fill="auto"/>
                  <w:noWrap w:val="0"/>
                  <w:vAlign w:val="bottom"/>
                </w:tcPr>
                <w:p>
                  <w:pPr>
                    <w:adjustRightInd w:val="0"/>
                    <w:snapToGrid w:val="0"/>
                    <w:spacing w:beforeLines="0" w:after="0" w:afterLines="0" w:line="240" w:lineRule="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Requires 8 antennas and LNA =&gt; FWA only</w:t>
                  </w:r>
                </w:p>
              </w:tc>
            </w:tr>
            <w:tr>
              <w:tblPrEx>
                <w:tblCellMar>
                  <w:top w:w="0" w:type="dxa"/>
                  <w:left w:w="108" w:type="dxa"/>
                  <w:bottom w:w="0" w:type="dxa"/>
                  <w:right w:w="108" w:type="dxa"/>
                </w:tblCellMar>
              </w:tblPrEx>
              <w:trPr>
                <w:trHeight w:val="70" w:hRule="atLeast"/>
                <w:jc w:val="center"/>
              </w:trPr>
              <w:tc>
                <w:tcPr>
                  <w:tcW w:w="67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beforeLines="0" w:after="0" w:afterLines="0" w:line="240" w:lineRule="auto"/>
                    <w:rPr>
                      <w:rFonts w:hint="default" w:ascii="Times New Roman" w:hAnsi="Times New Roman" w:cs="Times New Roman"/>
                      <w:color w:val="000000"/>
                      <w:sz w:val="20"/>
                      <w:szCs w:val="20"/>
                      <w:highlight w:val="yellow"/>
                    </w:rPr>
                  </w:pPr>
                </w:p>
              </w:tc>
              <w:tc>
                <w:tcPr>
                  <w:tcW w:w="514"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w:t>
                  </w:r>
                </w:p>
              </w:tc>
              <w:tc>
                <w:tcPr>
                  <w:tcW w:w="315"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w:t>
                  </w:r>
                </w:p>
              </w:tc>
              <w:tc>
                <w:tcPr>
                  <w:tcW w:w="611" w:type="dxa"/>
                  <w:vMerge w:val="continue"/>
                  <w:tcBorders>
                    <w:left w:val="nil"/>
                    <w:bottom w:val="single" w:color="auto" w:sz="4" w:space="0"/>
                    <w:right w:val="single" w:color="auto" w:sz="4" w:space="0"/>
                  </w:tcBorders>
                  <w:shd w:val="clear" w:color="auto" w:fill="auto"/>
                  <w:noWrap w:val="0"/>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p>
              </w:tc>
              <w:tc>
                <w:tcPr>
                  <w:tcW w:w="790"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w:t>
                  </w:r>
                </w:p>
              </w:tc>
              <w:tc>
                <w:tcPr>
                  <w:tcW w:w="920"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w:t>
                  </w:r>
                </w:p>
              </w:tc>
              <w:tc>
                <w:tcPr>
                  <w:tcW w:w="640" w:type="dxa"/>
                  <w:tcBorders>
                    <w:top w:val="nil"/>
                    <w:left w:val="nil"/>
                    <w:bottom w:val="single" w:color="auto" w:sz="4" w:space="0"/>
                    <w:right w:val="single" w:color="auto" w:sz="4" w:space="0"/>
                  </w:tcBorders>
                  <w:shd w:val="clear" w:color="auto" w:fill="auto"/>
                  <w:noWrap/>
                  <w:vAlign w:val="bottom"/>
                </w:tcPr>
                <w:p>
                  <w:pPr>
                    <w:adjustRightInd w:val="0"/>
                    <w:snapToGrid w:val="0"/>
                    <w:spacing w:beforeLines="0" w:after="0" w:afterLines="0" w:line="240" w:lineRule="auto"/>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4Rx</w:t>
                  </w:r>
                </w:p>
              </w:tc>
              <w:tc>
                <w:tcPr>
                  <w:tcW w:w="980" w:type="dxa"/>
                  <w:vMerge w:val="continue"/>
                  <w:tcBorders>
                    <w:left w:val="single" w:color="auto" w:sz="4" w:space="0"/>
                    <w:bottom w:val="single" w:color="auto" w:sz="4" w:space="0"/>
                    <w:right w:val="single" w:color="auto" w:sz="4" w:space="0"/>
                  </w:tcBorders>
                  <w:noWrap w:val="0"/>
                  <w:vAlign w:val="top"/>
                </w:tcPr>
                <w:p>
                  <w:pPr>
                    <w:adjustRightInd w:val="0"/>
                    <w:snapToGrid w:val="0"/>
                    <w:spacing w:beforeLines="0" w:after="0" w:afterLines="0" w:line="240" w:lineRule="auto"/>
                    <w:jc w:val="center"/>
                    <w:rPr>
                      <w:rFonts w:hint="default" w:ascii="Times New Roman" w:hAnsi="Times New Roman" w:cs="Times New Roman"/>
                      <w:color w:val="000000"/>
                      <w:sz w:val="20"/>
                      <w:szCs w:val="20"/>
                      <w:highlight w:val="yellow"/>
                    </w:rPr>
                  </w:pPr>
                </w:p>
              </w:tc>
              <w:tc>
                <w:tcPr>
                  <w:tcW w:w="1160" w:type="dxa"/>
                  <w:vMerge w:val="continue"/>
                  <w:tcBorders>
                    <w:top w:val="nil"/>
                    <w:left w:val="single" w:color="auto" w:sz="4" w:space="0"/>
                    <w:bottom w:val="single" w:color="auto" w:sz="4" w:space="0"/>
                    <w:right w:val="single" w:color="auto" w:sz="4" w:space="0"/>
                  </w:tcBorders>
                  <w:noWrap w:val="0"/>
                  <w:vAlign w:val="center"/>
                </w:tcPr>
                <w:p>
                  <w:pPr>
                    <w:adjustRightInd w:val="0"/>
                    <w:snapToGrid w:val="0"/>
                    <w:spacing w:beforeLines="0" w:after="0" w:afterLines="0" w:line="240" w:lineRule="auto"/>
                    <w:rPr>
                      <w:rFonts w:hint="default" w:ascii="Times New Roman" w:hAnsi="Times New Roman" w:cs="Times New Roman"/>
                      <w:color w:val="000000"/>
                      <w:sz w:val="20"/>
                      <w:szCs w:val="20"/>
                      <w:highlight w:val="yellow"/>
                    </w:rPr>
                  </w:pPr>
                </w:p>
              </w:tc>
              <w:tc>
                <w:tcPr>
                  <w:tcW w:w="3060" w:type="dxa"/>
                  <w:vMerge w:val="continue"/>
                  <w:tcBorders>
                    <w:top w:val="nil"/>
                    <w:left w:val="single" w:color="auto" w:sz="4" w:space="0"/>
                    <w:bottom w:val="single" w:color="auto" w:sz="4" w:space="0"/>
                    <w:right w:val="single" w:color="auto" w:sz="4" w:space="0"/>
                  </w:tcBorders>
                  <w:noWrap w:val="0"/>
                  <w:vAlign w:val="center"/>
                </w:tcPr>
                <w:p>
                  <w:pPr>
                    <w:adjustRightInd w:val="0"/>
                    <w:snapToGrid w:val="0"/>
                    <w:spacing w:beforeLines="0" w:after="0" w:afterLines="0" w:line="240" w:lineRule="auto"/>
                    <w:rPr>
                      <w:rFonts w:hint="default" w:ascii="Times New Roman" w:hAnsi="Times New Roman" w:cs="Times New Roman"/>
                      <w:color w:val="000000"/>
                      <w:sz w:val="20"/>
                      <w:szCs w:val="20"/>
                      <w:highlight w:val="yellow"/>
                    </w:rPr>
                  </w:pPr>
                </w:p>
              </w:tc>
            </w:tr>
          </w:tbl>
          <w:p>
            <w:pPr>
              <w:widowControl w:val="0"/>
              <w:overflowPunct w:val="0"/>
              <w:autoSpaceDE w:val="0"/>
              <w:autoSpaceDN w:val="0"/>
              <w:adjustRightInd w:val="0"/>
              <w:spacing w:before="120" w:beforeLines="0" w:after="120" w:afterLines="0" w:line="240" w:lineRule="auto"/>
              <w:jc w:val="left"/>
              <w:textAlignment w:val="baseline"/>
              <w:rPr>
                <w:rFonts w:hint="default" w:ascii="Times New Roman" w:hAnsi="Times New Roman" w:cs="Times New Roman"/>
                <w:kern w:val="0"/>
                <w:sz w:val="20"/>
                <w:szCs w:val="20"/>
                <w:vertAlign w:val="baseline"/>
                <w:lang w:val="en-US" w:eastAsia="zh-CN"/>
              </w:rPr>
            </w:pPr>
          </w:p>
        </w:tc>
      </w:tr>
    </w:tbl>
    <w:p>
      <w:pPr>
        <w:widowControl w:val="0"/>
        <w:spacing w:before="120" w:beforeLines="0" w:after="120" w:afterLines="0" w:line="240" w:lineRule="auto"/>
        <w:jc w:val="left"/>
        <w:rPr>
          <w:rFonts w:hint="default"/>
          <w:kern w:val="0"/>
          <w:sz w:val="20"/>
          <w:lang w:val="en-US" w:eastAsia="zh-CN"/>
        </w:rPr>
      </w:pPr>
    </w:p>
    <w:p>
      <w:pPr>
        <w:widowControl w:val="0"/>
        <w:spacing w:before="120" w:beforeLines="0" w:after="120" w:afterLines="0" w:line="240" w:lineRule="auto"/>
        <w:jc w:val="left"/>
        <w:rPr>
          <w:kern w:val="0"/>
          <w:sz w:val="20"/>
        </w:rPr>
      </w:pPr>
      <w:r>
        <w:rPr>
          <w:rFonts w:hint="eastAsia"/>
          <w:kern w:val="0"/>
          <w:sz w:val="20"/>
        </w:rPr>
        <w:t>RRM requirements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游明朝"/>
                <w:sz w:val="20"/>
                <w:szCs w:val="20"/>
                <w:lang w:eastAsia="ja-JP"/>
              </w:rPr>
            </w:pPr>
            <w:r>
              <w:rPr>
                <w:rFonts w:hint="eastAsia" w:eastAsia="游明朝"/>
                <w:sz w:val="20"/>
                <w:szCs w:val="20"/>
                <w:lang w:eastAsia="ja-JP"/>
              </w:rPr>
              <w:t>&lt;</w:t>
            </w:r>
            <w:r>
              <w:rPr>
                <w:rFonts w:eastAsia="游明朝"/>
                <w:sz w:val="20"/>
                <w:szCs w:val="20"/>
                <w:lang w:eastAsia="ja-JP"/>
              </w:rPr>
              <w:t xml:space="preserve"> Issue 3-3-1: Whether the intra-band CA MRTD requirement applies (Max. 3us) as baseline on Type 3a/3b UE &gt;</w:t>
            </w:r>
          </w:p>
          <w:p>
            <w:pPr>
              <w:overflowPunct w:val="0"/>
              <w:autoSpaceDE w:val="0"/>
              <w:autoSpaceDN w:val="0"/>
              <w:adjustRightInd w:val="0"/>
              <w:spacing w:after="180"/>
              <w:textAlignment w:val="baseline"/>
              <w:rPr>
                <w:rFonts w:hint="eastAsia"/>
                <w:b/>
                <w:sz w:val="20"/>
                <w:szCs w:val="20"/>
                <w:lang w:val="en-US" w:eastAsia="zh-CN"/>
              </w:rPr>
            </w:pPr>
            <w:r>
              <w:rPr>
                <w:b/>
                <w:sz w:val="20"/>
                <w:szCs w:val="20"/>
                <w:lang w:val="en-US" w:eastAsia="zh-CN"/>
              </w:rPr>
              <w:t xml:space="preserve">Way Forward: </w:t>
            </w:r>
          </w:p>
          <w:p>
            <w:pPr>
              <w:numPr>
                <w:ilvl w:val="0"/>
                <w:numId w:val="8"/>
              </w:numPr>
              <w:overflowPunct w:val="0"/>
              <w:autoSpaceDE w:val="0"/>
              <w:autoSpaceDN w:val="0"/>
              <w:adjustRightInd w:val="0"/>
              <w:spacing w:after="180"/>
              <w:textAlignment w:val="baseline"/>
              <w:rPr>
                <w:kern w:val="0"/>
                <w:sz w:val="20"/>
                <w:vertAlign w:val="baseline"/>
              </w:rPr>
            </w:pPr>
            <w:r>
              <w:rPr>
                <w:sz w:val="20"/>
                <w:szCs w:val="20"/>
                <w:lang w:val="en-US"/>
              </w:rPr>
              <w:t>Continue further discussions in the next meeting.</w:t>
            </w:r>
          </w:p>
        </w:tc>
      </w:tr>
    </w:tbl>
    <w:p>
      <w:pPr>
        <w:widowControl w:val="0"/>
        <w:spacing w:before="120" w:beforeLines="0" w:after="120" w:afterLines="0" w:line="240" w:lineRule="auto"/>
        <w:jc w:val="left"/>
        <w:rPr>
          <w:kern w:val="0"/>
          <w:sz w:val="20"/>
        </w:rPr>
      </w:pPr>
      <w:bookmarkStart w:id="6" w:name="OLE_LINK33"/>
      <w:r>
        <w:rPr>
          <w:rFonts w:hint="eastAsia"/>
          <w:kern w:val="0"/>
          <w:sz w:val="20"/>
        </w:rPr>
        <w:t xml:space="preserve"> </w:t>
      </w:r>
      <w:bookmarkEnd w:id="6"/>
    </w:p>
    <w:bookmarkEnd w:id="5"/>
    <w:p>
      <w:pPr>
        <w:widowControl w:val="0"/>
        <w:pBdr>
          <w:top w:val="single" w:color="auto" w:sz="12" w:space="3"/>
        </w:pBdr>
        <w:spacing w:beforeLines="0" w:afterLines="0" w:line="240" w:lineRule="auto"/>
        <w:jc w:val="left"/>
        <w:outlineLvl w:val="0"/>
        <w:rPr>
          <w:b/>
          <w:kern w:val="0"/>
          <w:sz w:val="24"/>
          <w:szCs w:val="24"/>
        </w:rPr>
      </w:pPr>
      <w:r>
        <w:rPr>
          <w:b/>
          <w:kern w:val="0"/>
          <w:sz w:val="24"/>
          <w:szCs w:val="24"/>
        </w:rPr>
        <w:t>2</w:t>
      </w:r>
      <w:r>
        <w:rPr>
          <w:b/>
          <w:kern w:val="0"/>
          <w:sz w:val="24"/>
          <w:szCs w:val="24"/>
        </w:rPr>
        <w:tab/>
      </w:r>
      <w:r>
        <w:rPr>
          <w:b/>
          <w:kern w:val="0"/>
          <w:sz w:val="24"/>
          <w:szCs w:val="24"/>
        </w:rPr>
        <w:t>Discussion</w:t>
      </w:r>
    </w:p>
    <w:p>
      <w:pPr>
        <w:pStyle w:val="62"/>
        <w:keepLines w:val="0"/>
        <w:widowControl w:val="0"/>
        <w:spacing w:before="120" w:after="120"/>
        <w:ind w:left="0" w:firstLine="0"/>
        <w:rPr>
          <w:rFonts w:hint="eastAsia"/>
          <w:lang w:val="en-US" w:eastAsia="zh-CN"/>
        </w:rPr>
      </w:pPr>
      <w:bookmarkStart w:id="7" w:name="OLE_LINK41"/>
      <w:bookmarkStart w:id="8" w:name="OLE_LINK6"/>
      <w:bookmarkStart w:id="9" w:name="OLE_LINK23"/>
      <w:bookmarkStart w:id="10" w:name="OLE_LINK66"/>
      <w:r>
        <w:rPr>
          <w:rFonts w:hint="eastAsia"/>
          <w:lang w:val="en-US" w:eastAsia="zh-CN"/>
        </w:rPr>
        <w:t>With regard to TAE/network synchronization, the current requirement for cell phase synchronization accuracy is 3 us. The TAE/network synchronization should be kept as 3 us as we as mentioned in the contribution last meeting</w:t>
      </w:r>
      <w:r>
        <w:rPr>
          <w:rFonts w:hint="eastAsia"/>
          <w:vertAlign w:val="superscript"/>
          <w:lang w:val="en-US" w:eastAsia="zh-CN"/>
        </w:rPr>
        <w:t>[2]</w:t>
      </w:r>
      <w:r>
        <w:rPr>
          <w:rFonts w:hint="eastAsia"/>
          <w:lang w:val="en-US" w:eastAsia="zh-CN"/>
        </w:rPr>
        <w:t>.</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Proposal 1. To keep the TAE of 3us unchanged.</w:t>
      </w:r>
    </w:p>
    <w:p>
      <w:pPr>
        <w:pStyle w:val="62"/>
        <w:keepLines w:val="0"/>
        <w:widowControl w:val="0"/>
        <w:spacing w:before="120" w:after="120"/>
        <w:ind w:left="0" w:firstLine="0"/>
        <w:rPr>
          <w:rFonts w:hint="eastAsia" w:ascii="Times New Roman" w:hAnsi="Times New Roman" w:eastAsia="宋体" w:cs="Times New Roman"/>
          <w:lang w:val="en-US" w:eastAsia="zh-CN"/>
        </w:rPr>
      </w:pPr>
      <w:r>
        <w:rPr>
          <w:rFonts w:hint="eastAsia"/>
          <w:lang w:val="en-US" w:eastAsia="zh-CN"/>
        </w:rPr>
        <w:t xml:space="preserve">On the other hand, the MRTD is discussed along with TAE/network synchronization. The performance of Type 3a/3b UE will be affected if the MRTD between two CCs is larger than the CP duration thus the introduction of Type 3a/3b UE will face challenge. </w:t>
      </w:r>
      <w:r>
        <w:rPr>
          <w:rFonts w:hint="eastAsia" w:ascii="Times New Roman" w:hAnsi="Times New Roman" w:eastAsia="宋体" w:cs="Times New Roman"/>
          <w:lang w:val="en-US" w:eastAsia="zh-CN"/>
        </w:rPr>
        <w:t>Therefore it is expected to support Type 3a/3b UE without changing the requirement of the TAE/network synchronization.</w:t>
      </w:r>
    </w:p>
    <w:p>
      <w:pPr>
        <w:pStyle w:val="62"/>
        <w:keepLines w:val="0"/>
        <w:widowControl w:val="0"/>
        <w:spacing w:before="120" w:after="120"/>
        <w:ind w:left="0" w:firstLine="0"/>
        <w:rPr>
          <w:rFonts w:hint="default"/>
          <w:lang w:val="en-US" w:eastAsia="zh-CN"/>
        </w:rPr>
      </w:pPr>
      <w:r>
        <w:rPr>
          <w:rFonts w:hint="eastAsia"/>
          <w:lang w:val="en-US" w:eastAsia="zh-CN"/>
        </w:rPr>
        <w:t>The equation below is used to discuss the timing relationship among different parameters.</w:t>
      </w:r>
    </w:p>
    <w:p>
      <w:pPr>
        <w:spacing w:before="120" w:beforeLines="0" w:after="120" w:afterLines="0" w:line="240" w:lineRule="auto"/>
        <w:jc w:val="center"/>
        <w:rPr>
          <w:rFonts w:hint="default" w:eastAsia="宋体"/>
          <w:sz w:val="20"/>
          <w:szCs w:val="20"/>
          <w:lang w:val="en-US" w:eastAsia="zh-CN"/>
        </w:rPr>
      </w:pPr>
      <w:r>
        <w:rPr>
          <w:rFonts w:hint="eastAsia"/>
          <w:sz w:val="20"/>
          <w:szCs w:val="20"/>
          <w:lang w:val="en-US" w:eastAsia="zh-CN"/>
        </w:rPr>
        <w:t xml:space="preserve">D_CP </w:t>
      </w:r>
      <w:r>
        <w:rPr>
          <w:rFonts w:hint="default" w:ascii="Times New Roman" w:hAnsi="Times New Roman" w:cs="Times New Roman"/>
          <w:sz w:val="20"/>
          <w:szCs w:val="20"/>
          <w:lang w:val="en-US" w:eastAsia="zh-CN"/>
        </w:rPr>
        <w:t>≥</w:t>
      </w:r>
      <w:r>
        <w:rPr>
          <w:rFonts w:hint="eastAsia"/>
          <w:sz w:val="20"/>
          <w:szCs w:val="20"/>
          <w:lang w:val="en-US" w:eastAsia="zh-CN"/>
        </w:rPr>
        <w:t xml:space="preserve"> D_Tp + T_sync</w:t>
      </w:r>
      <w:r>
        <w:rPr>
          <w:rFonts w:hint="eastAsia"/>
          <w:sz w:val="20"/>
          <w:szCs w:val="20"/>
          <w:lang w:val="en-US" w:eastAsia="zh-CN"/>
        </w:rPr>
        <w:tab/>
      </w:r>
      <w:r>
        <w:rPr>
          <w:rFonts w:hint="eastAsia"/>
          <w:sz w:val="20"/>
          <w:szCs w:val="20"/>
          <w:lang w:val="en-US" w:eastAsia="zh-CN"/>
        </w:rPr>
        <w:tab/>
      </w:r>
      <w:r>
        <w:rPr>
          <w:rFonts w:hint="eastAsia"/>
          <w:sz w:val="20"/>
          <w:szCs w:val="20"/>
          <w:lang w:val="en-US" w:eastAsia="zh-CN"/>
        </w:rPr>
        <w:tab/>
      </w:r>
      <w:r>
        <w:rPr>
          <w:rFonts w:hint="eastAsia"/>
          <w:sz w:val="20"/>
          <w:szCs w:val="20"/>
          <w:lang w:val="en-US" w:eastAsia="zh-CN"/>
        </w:rPr>
        <w:tab/>
      </w:r>
      <w:r>
        <w:rPr>
          <w:rFonts w:hint="eastAsia"/>
          <w:sz w:val="20"/>
          <w:szCs w:val="20"/>
          <w:lang w:val="en-US" w:eastAsia="zh-CN"/>
        </w:rPr>
        <w:t xml:space="preserve">              ( </w:t>
      </w:r>
      <w:r>
        <w:rPr>
          <w:rFonts w:hint="eastAsia"/>
          <w:sz w:val="20"/>
          <w:szCs w:val="20"/>
        </w:rPr>
        <w:t xml:space="preserve">Equation </w:t>
      </w:r>
      <w:r>
        <w:rPr>
          <w:rFonts w:hint="eastAsia"/>
          <w:sz w:val="20"/>
          <w:szCs w:val="20"/>
          <w:lang w:val="en-US" w:eastAsia="zh-CN"/>
        </w:rPr>
        <w:t>1)</w:t>
      </w:r>
    </w:p>
    <w:p>
      <w:pPr>
        <w:pStyle w:val="62"/>
        <w:keepLines w:val="0"/>
        <w:widowControl w:val="0"/>
        <w:spacing w:before="120" w:after="120"/>
        <w:ind w:left="0" w:firstLine="0"/>
        <w:rPr>
          <w:rFonts w:hint="eastAsia"/>
          <w:lang w:val="en-US" w:eastAsia="zh-CN"/>
        </w:rPr>
      </w:pPr>
      <w:r>
        <w:rPr>
          <w:rFonts w:hint="eastAsia"/>
          <w:lang w:val="en-US" w:eastAsia="zh-CN"/>
        </w:rPr>
        <w:t>Where D_CP is the duration of CP with certain numerology configured, D_Tp is the propagation timing difference between CCs and T_sync is the Tx timing difference between CCs. Equation can not be satisfied when T_sync is assumed to be 3us and 30kHz SCS is considered. In practical deployment, GPS or other precise timing devices are integrated within BS and the TAE between BSs is much smaller than 3us in the order of magnitude if the clock source is locked.</w:t>
      </w:r>
    </w:p>
    <w:p>
      <w:pPr>
        <w:pStyle w:val="62"/>
        <w:keepLines w:val="0"/>
        <w:widowControl w:val="0"/>
        <w:spacing w:before="120" w:after="120"/>
        <w:ind w:left="0" w:firstLine="0"/>
        <w:rPr>
          <w:b/>
          <w:bCs/>
          <w:i/>
          <w:iCs/>
          <w:kern w:val="2"/>
          <w:lang w:val="en-US" w:eastAsia="zh-CN"/>
        </w:rPr>
      </w:pPr>
      <w:r>
        <w:rPr>
          <w:rFonts w:hint="eastAsia"/>
          <w:b/>
          <w:bCs/>
          <w:i/>
          <w:iCs/>
          <w:kern w:val="2"/>
          <w:lang w:val="en-US" w:eastAsia="zh-CN"/>
        </w:rPr>
        <w:t>Observation 1. In practical deployment, BS is often integrated with GPS or other precise timing device which can provide more accurate timing between BSs.</w:t>
      </w:r>
      <w:r>
        <w:rPr>
          <w:rFonts w:hint="eastAsia"/>
          <w:b/>
          <w:bCs/>
          <w:i/>
          <w:iCs/>
          <w:lang w:val="en-US" w:eastAsia="zh-CN"/>
        </w:rPr>
        <w:t xml:space="preserve"> </w:t>
      </w:r>
    </w:p>
    <w:p>
      <w:pPr>
        <w:pStyle w:val="62"/>
        <w:keepLines w:val="0"/>
        <w:widowControl w:val="0"/>
        <w:spacing w:before="120" w:after="120"/>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The SFTD measurement </w:t>
      </w:r>
      <w:r>
        <w:rPr>
          <w:rFonts w:hint="eastAsia" w:cs="Times New Roman"/>
          <w:lang w:val="en-US" w:eastAsia="zh-CN"/>
        </w:rPr>
        <w:t xml:space="preserve">can be </w:t>
      </w:r>
      <w:r>
        <w:rPr>
          <w:rFonts w:hint="eastAsia" w:ascii="Times New Roman" w:hAnsi="Times New Roman" w:eastAsia="宋体" w:cs="Times New Roman"/>
          <w:lang w:val="en-US" w:eastAsia="zh-CN"/>
        </w:rPr>
        <w:t xml:space="preserve">used to measure the timing difference observed from </w:t>
      </w:r>
      <w:r>
        <w:rPr>
          <w:rFonts w:hint="eastAsia" w:cs="Times New Roman"/>
          <w:lang w:val="en-US" w:eastAsia="zh-CN"/>
        </w:rPr>
        <w:t>UE Rx</w:t>
      </w:r>
      <w:r>
        <w:rPr>
          <w:rFonts w:hint="eastAsia" w:ascii="Times New Roman" w:hAnsi="Times New Roman" w:eastAsia="宋体" w:cs="Times New Roman"/>
          <w:lang w:val="en-US" w:eastAsia="zh-CN"/>
        </w:rPr>
        <w:t xml:space="preserve">. </w:t>
      </w:r>
      <w:r>
        <w:rPr>
          <w:rFonts w:hint="eastAsia" w:cs="Times New Roman"/>
          <w:lang w:val="en-US" w:eastAsia="zh-CN"/>
        </w:rPr>
        <w:t>T</w:t>
      </w:r>
      <w:r>
        <w:rPr>
          <w:rFonts w:hint="eastAsia" w:ascii="Times New Roman" w:hAnsi="Times New Roman" w:eastAsia="宋体" w:cs="Times New Roman"/>
          <w:lang w:val="en-US" w:eastAsia="zh-CN"/>
        </w:rPr>
        <w:t xml:space="preserve">he granularity </w:t>
      </w:r>
      <w:r>
        <w:rPr>
          <w:rFonts w:hint="eastAsia" w:cs="Times New Roman"/>
          <w:lang w:val="en-US" w:eastAsia="zh-CN"/>
        </w:rPr>
        <w:t>of Rx timing difference</w:t>
      </w:r>
      <w:r>
        <w:rPr>
          <w:rFonts w:hint="eastAsia" w:ascii="Times New Roman" w:hAnsi="Times New Roman" w:eastAsia="宋体" w:cs="Times New Roman"/>
          <w:lang w:val="en-US" w:eastAsia="zh-CN"/>
        </w:rPr>
        <w:t xml:space="preserve"> is 5*Ts which is about </w:t>
      </w:r>
      <w:r>
        <w:rPr>
          <w:rFonts w:hint="eastAsia" w:cs="Times New Roman"/>
          <w:lang w:val="en-US" w:eastAsia="zh-CN"/>
        </w:rPr>
        <w:t>162.8</w:t>
      </w:r>
      <w:r>
        <w:rPr>
          <w:rFonts w:hint="eastAsia" w:ascii="Times New Roman" w:hAnsi="Times New Roman" w:eastAsia="宋体" w:cs="Times New Roman"/>
          <w:lang w:val="en-US" w:eastAsia="zh-CN"/>
        </w:rPr>
        <w:t xml:space="preserve">ns </w:t>
      </w:r>
      <w:r>
        <w:rPr>
          <w:rFonts w:hint="eastAsia" w:cs="Times New Roman"/>
          <w:lang w:val="en-US" w:eastAsia="zh-CN"/>
        </w:rPr>
        <w:t>and</w:t>
      </w:r>
      <w:r>
        <w:rPr>
          <w:rFonts w:hint="eastAsia" w:ascii="Times New Roman" w:hAnsi="Times New Roman" w:eastAsia="宋体" w:cs="Times New Roman"/>
          <w:lang w:val="en-US" w:eastAsia="zh-CN"/>
        </w:rPr>
        <w:t xml:space="preserve"> can be </w:t>
      </w:r>
      <w:r>
        <w:rPr>
          <w:rFonts w:hint="eastAsia" w:cs="Times New Roman"/>
          <w:lang w:val="en-US" w:eastAsia="zh-CN"/>
        </w:rPr>
        <w:t>used</w:t>
      </w:r>
      <w:r>
        <w:rPr>
          <w:rFonts w:hint="eastAsia" w:ascii="Times New Roman" w:hAnsi="Times New Roman" w:eastAsia="宋体" w:cs="Times New Roman"/>
          <w:lang w:val="en-US" w:eastAsia="zh-CN"/>
        </w:rPr>
        <w:t xml:space="preserve"> to </w:t>
      </w:r>
      <w:r>
        <w:rPr>
          <w:rFonts w:hint="eastAsia" w:cs="Times New Roman"/>
          <w:lang w:val="en-US" w:eastAsia="zh-CN"/>
        </w:rPr>
        <w:t>determine</w:t>
      </w:r>
      <w:r>
        <w:rPr>
          <w:rFonts w:hint="eastAsia" w:ascii="Times New Roman" w:hAnsi="Times New Roman" w:eastAsia="宋体" w:cs="Times New Roman"/>
          <w:lang w:val="en-US" w:eastAsia="zh-CN"/>
        </w:rPr>
        <w:t xml:space="preserve"> whether </w:t>
      </w:r>
      <w:r>
        <w:rPr>
          <w:rFonts w:hint="eastAsia" w:cs="Times New Roman"/>
          <w:lang w:val="en-US" w:eastAsia="zh-CN"/>
        </w:rPr>
        <w:t>non-collocated</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highlight w:val="none"/>
          <w:lang w:val="en-US" w:eastAsia="zh-CN"/>
        </w:rPr>
        <w:t>CA/</w:t>
      </w:r>
      <w:r>
        <w:rPr>
          <w:rFonts w:hint="eastAsia" w:ascii="Times New Roman" w:hAnsi="Times New Roman" w:eastAsia="宋体" w:cs="Times New Roman"/>
          <w:lang w:val="en-US" w:eastAsia="zh-CN"/>
        </w:rPr>
        <w:t xml:space="preserve">DC transmission </w:t>
      </w:r>
      <w:r>
        <w:rPr>
          <w:rFonts w:hint="eastAsia" w:cs="Times New Roman"/>
          <w:lang w:val="en-US" w:eastAsia="zh-CN"/>
        </w:rPr>
        <w:t xml:space="preserve">is feasible </w:t>
      </w:r>
      <w:r>
        <w:rPr>
          <w:rFonts w:hint="eastAsia" w:ascii="Times New Roman" w:hAnsi="Times New Roman" w:eastAsia="宋体" w:cs="Times New Roman"/>
          <w:lang w:val="en-US" w:eastAsia="zh-CN"/>
        </w:rPr>
        <w:t>for the UE.</w:t>
      </w:r>
    </w:p>
    <w:p>
      <w:pPr>
        <w:pStyle w:val="62"/>
        <w:keepLines w:val="0"/>
        <w:widowControl w:val="0"/>
        <w:spacing w:before="120" w:after="120"/>
        <w:ind w:left="0" w:firstLine="0"/>
        <w:jc w:val="center"/>
      </w:pPr>
      <w:r>
        <w:drawing>
          <wp:inline distT="0" distB="0" distL="114300" distR="114300">
            <wp:extent cx="3094355" cy="1748790"/>
            <wp:effectExtent l="0" t="0" r="1460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rcRect t="9836"/>
                    <a:stretch>
                      <a:fillRect/>
                    </a:stretch>
                  </pic:blipFill>
                  <pic:spPr>
                    <a:xfrm>
                      <a:off x="0" y="0"/>
                      <a:ext cx="3094355" cy="1748790"/>
                    </a:xfrm>
                    <a:prstGeom prst="rect">
                      <a:avLst/>
                    </a:prstGeom>
                    <a:noFill/>
                    <a:ln>
                      <a:noFill/>
                    </a:ln>
                  </pic:spPr>
                </pic:pic>
              </a:graphicData>
            </a:graphic>
          </wp:inline>
        </w:drawing>
      </w:r>
    </w:p>
    <w:p>
      <w:pPr>
        <w:pStyle w:val="62"/>
        <w:keepLines w:val="0"/>
        <w:widowControl w:val="0"/>
        <w:spacing w:before="120" w:after="120"/>
        <w:ind w:left="0" w:firstLine="0"/>
        <w:jc w:val="center"/>
      </w:pPr>
      <w:r>
        <w:rPr>
          <w:rFonts w:hint="eastAsia"/>
          <w:lang w:val="en-US" w:eastAsia="zh-CN"/>
        </w:rPr>
        <w:t>Figure 2-1a, RTD &gt; CP observed from UE side</w:t>
      </w:r>
    </w:p>
    <w:p>
      <w:pPr>
        <w:pStyle w:val="62"/>
        <w:keepLines w:val="0"/>
        <w:widowControl w:val="0"/>
        <w:spacing w:before="120" w:after="120"/>
        <w:ind w:left="0" w:firstLine="0"/>
        <w:jc w:val="center"/>
      </w:pPr>
      <w:r>
        <w:drawing>
          <wp:inline distT="0" distB="0" distL="114300" distR="114300">
            <wp:extent cx="3082290" cy="1828800"/>
            <wp:effectExtent l="0" t="0" r="1143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082290" cy="1828800"/>
                    </a:xfrm>
                    <a:prstGeom prst="rect">
                      <a:avLst/>
                    </a:prstGeom>
                    <a:noFill/>
                    <a:ln>
                      <a:noFill/>
                    </a:ln>
                  </pic:spPr>
                </pic:pic>
              </a:graphicData>
            </a:graphic>
          </wp:inline>
        </w:drawing>
      </w:r>
    </w:p>
    <w:p>
      <w:pPr>
        <w:pStyle w:val="62"/>
        <w:keepLines w:val="0"/>
        <w:widowControl w:val="0"/>
        <w:spacing w:before="120" w:after="120"/>
        <w:ind w:left="0" w:firstLine="0"/>
        <w:jc w:val="center"/>
        <w:rPr>
          <w:rFonts w:hint="default" w:eastAsia="宋体"/>
          <w:lang w:val="en-US" w:eastAsia="zh-CN"/>
        </w:rPr>
      </w:pPr>
      <w:r>
        <w:rPr>
          <w:rFonts w:hint="eastAsia"/>
          <w:lang w:val="en-US" w:eastAsia="zh-CN"/>
        </w:rPr>
        <w:t>Figure 2-1b, RTD &lt; CP observed from UE side</w:t>
      </w:r>
    </w:p>
    <w:p>
      <w:pPr>
        <w:pStyle w:val="62"/>
        <w:keepLines w:val="0"/>
        <w:widowControl w:val="0"/>
        <w:spacing w:before="120" w:after="120"/>
        <w:ind w:left="0" w:firstLine="0"/>
        <w:rPr>
          <w:rFonts w:hint="default" w:ascii="Times New Roman" w:hAnsi="Times New Roman" w:eastAsia="宋体" w:cs="Times New Roman"/>
          <w:highlight w:val="none"/>
          <w:lang w:val="en-US" w:eastAsia="zh-CN"/>
        </w:rPr>
      </w:pPr>
      <w:r>
        <w:rPr>
          <w:rFonts w:hint="eastAsia" w:cs="Times New Roman"/>
          <w:highlight w:val="none"/>
          <w:lang w:val="en-US" w:eastAsia="zh-CN"/>
        </w:rPr>
        <w:t xml:space="preserve">From figure 2 we can see that UE can calculate the Rx timing difference between the serving cell and a neighbour cell, if the RTD is </w:t>
      </w:r>
      <w:bookmarkStart w:id="14" w:name="_GoBack"/>
      <w:bookmarkEnd w:id="14"/>
      <w:r>
        <w:rPr>
          <w:rFonts w:hint="eastAsia" w:cs="Times New Roman"/>
          <w:highlight w:val="none"/>
          <w:lang w:val="en-US" w:eastAsia="zh-CN"/>
        </w:rPr>
        <w:t>smaller, such as less than the CP duration, the network can perform non-collocated CA/DC transmission for the UE.</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Proposal 2. To study whether the existing measure configuration can be used for identifying the eligible RTD for Type 3a/3b UE.</w:t>
      </w:r>
    </w:p>
    <w:p>
      <w:pPr>
        <w:pStyle w:val="62"/>
        <w:keepLines w:val="0"/>
        <w:widowControl w:val="0"/>
        <w:spacing w:before="120" w:after="120"/>
        <w:ind w:left="0" w:firstLine="0"/>
        <w:rPr>
          <w:rFonts w:hint="default"/>
          <w:lang w:val="en-US" w:eastAsia="zh-CN"/>
        </w:rPr>
      </w:pPr>
      <w:r>
        <w:rPr>
          <w:rFonts w:hint="eastAsia"/>
          <w:lang w:val="en-US" w:eastAsia="zh-CN"/>
        </w:rPr>
        <w:t xml:space="preserve">With regard to the situation of 25dB power imbalance and MRTD&gt;CP for Type 3a/ab UE, two options were reached in </w:t>
      </w:r>
      <w:r>
        <w:rPr>
          <w:rFonts w:ascii="Times New Roman" w:hAnsi="Times New Roman" w:cs="Times New Roman"/>
          <w:lang w:val="en-GB"/>
        </w:rPr>
        <w:t>RAN4#10</w:t>
      </w:r>
      <w:r>
        <w:rPr>
          <w:rFonts w:hint="eastAsia" w:cs="Times New Roman"/>
          <w:lang w:val="en-US" w:eastAsia="zh-CN"/>
        </w:rPr>
        <w:t xml:space="preserve">6 meeting. </w:t>
      </w:r>
    </w:p>
    <w:p>
      <w:pPr>
        <w:numPr>
          <w:ilvl w:val="1"/>
          <w:numId w:val="9"/>
        </w:numPr>
        <w:rPr>
          <w:rFonts w:eastAsia="游明朝"/>
          <w:lang w:eastAsia="ja-JP"/>
        </w:rPr>
      </w:pPr>
      <w:r>
        <w:rPr>
          <w:rFonts w:eastAsia="游明朝"/>
          <w:lang w:eastAsia="ja-JP"/>
        </w:rPr>
        <w:t xml:space="preserve">Option.1: Cope with 25dB (including the relaxation&lt;25dB) and MRTD&gt;CP. </w:t>
      </w:r>
    </w:p>
    <w:p>
      <w:pPr>
        <w:numPr>
          <w:ilvl w:val="1"/>
          <w:numId w:val="9"/>
        </w:numPr>
        <w:rPr>
          <w:rFonts w:eastAsia="游明朝"/>
          <w:lang w:eastAsia="ja-JP"/>
        </w:rPr>
      </w:pPr>
      <w:r>
        <w:rPr>
          <w:rFonts w:eastAsia="游明朝"/>
          <w:lang w:eastAsia="ja-JP"/>
        </w:rPr>
        <w:t>Option.2: RTD should be within CP to enable type 3a/3b UE. And power imbalance should be reduced accordingly.</w:t>
      </w:r>
    </w:p>
    <w:p>
      <w:pPr>
        <w:pStyle w:val="62"/>
        <w:keepLines w:val="0"/>
        <w:widowControl w:val="0"/>
        <w:spacing w:before="120" w:after="120"/>
        <w:ind w:left="0" w:firstLine="0"/>
        <w:rPr>
          <w:rFonts w:hint="eastAsia"/>
          <w:lang w:val="en-US" w:eastAsia="zh-CN"/>
        </w:rPr>
      </w:pPr>
      <w:r>
        <w:rPr>
          <w:rFonts w:hint="eastAsia"/>
          <w:lang w:val="en-US" w:eastAsia="zh-CN"/>
        </w:rPr>
        <w:t>Our contribution</w:t>
      </w:r>
      <w:r>
        <w:rPr>
          <w:rFonts w:hint="eastAsia"/>
          <w:vertAlign w:val="superscript"/>
          <w:lang w:val="en-US" w:eastAsia="zh-CN"/>
        </w:rPr>
        <w:t>[2]</w:t>
      </w:r>
      <w:r>
        <w:rPr>
          <w:rFonts w:hint="eastAsia"/>
          <w:lang w:val="en-US" w:eastAsia="zh-CN"/>
        </w:rPr>
        <w:t xml:space="preserve"> last meeting pointed that some methods such as more REFSEN relax and less power imbalance and be considered for the case when MRTD&gt;CP.</w:t>
      </w:r>
    </w:p>
    <w:p>
      <w:pPr>
        <w:pStyle w:val="62"/>
        <w:keepLines w:val="0"/>
        <w:widowControl w:val="0"/>
        <w:spacing w:before="120" w:after="120"/>
        <w:ind w:left="0" w:firstLine="0"/>
        <w:rPr>
          <w:rFonts w:hint="default" w:eastAsia="游明朝"/>
          <w:lang w:val="en-US" w:eastAsia="zh-CN"/>
        </w:rPr>
      </w:pPr>
      <w:r>
        <w:rPr>
          <w:rFonts w:hint="eastAsia"/>
          <w:b/>
          <w:bCs/>
          <w:i/>
          <w:iCs/>
          <w:kern w:val="2"/>
          <w:lang w:val="en-US" w:eastAsia="zh-CN"/>
        </w:rPr>
        <w:t>Proposal 3. To study option 1 which cope with 25dB (including the relaxation&lt;25dB) and MRTD&gt;CP.</w:t>
      </w:r>
    </w:p>
    <w:bookmarkEnd w:id="7"/>
    <w:bookmarkEnd w:id="8"/>
    <w:p>
      <w:pPr>
        <w:pStyle w:val="62"/>
        <w:keepLines w:val="0"/>
        <w:widowControl w:val="0"/>
        <w:spacing w:before="120" w:after="120"/>
        <w:ind w:left="0" w:firstLine="0"/>
        <w:rPr>
          <w:rFonts w:hint="default"/>
          <w:lang w:val="en-US" w:eastAsia="zh-CN"/>
        </w:rPr>
      </w:pPr>
      <w:bookmarkStart w:id="11" w:name="OLE_LINK11"/>
      <w:bookmarkStart w:id="12" w:name="OLE_LINK28"/>
      <w:r>
        <w:rPr>
          <w:rFonts w:hint="eastAsia"/>
          <w:lang w:val="en-US" w:eastAsia="zh-CN"/>
        </w:rPr>
        <w:t>With regard to Type 4a/4b, more Rx chains are needed. For 8Rx chains, only single CC is discussed, it is preferred to discuss Type 4b when 8Rx with multiple CC is fully discussed. 6Rx is not discussed up till now. In a word, as 8Rx with multiple CC and 6Rx are not discussed yet Type 4a/4b can be postponed in the future release.</w:t>
      </w:r>
    </w:p>
    <w:p>
      <w:pPr>
        <w:pStyle w:val="62"/>
        <w:keepLines w:val="0"/>
        <w:widowControl w:val="0"/>
        <w:spacing w:before="120" w:after="120"/>
        <w:ind w:left="0" w:firstLine="0"/>
        <w:rPr>
          <w:rFonts w:hint="default"/>
          <w:b/>
          <w:bCs/>
          <w:i/>
          <w:iCs/>
          <w:kern w:val="2"/>
          <w:lang w:val="en-US" w:eastAsia="zh-CN"/>
        </w:rPr>
      </w:pPr>
      <w:r>
        <w:rPr>
          <w:rFonts w:hint="eastAsia"/>
          <w:b/>
          <w:bCs/>
          <w:i/>
          <w:iCs/>
          <w:kern w:val="2"/>
          <w:lang w:val="en-US" w:eastAsia="zh-CN"/>
        </w:rPr>
        <w:t>Proposal 4. To postpone Type 4a/4b discussion in the future release.</w:t>
      </w:r>
    </w:p>
    <w:bookmarkEnd w:id="9"/>
    <w:bookmarkEnd w:id="10"/>
    <w:bookmarkEnd w:id="11"/>
    <w:bookmarkEnd w:id="12"/>
    <w:p>
      <w:pPr>
        <w:keepNext/>
        <w:keepLines/>
        <w:widowControl w:val="0"/>
        <w:pBdr>
          <w:top w:val="single" w:color="auto" w:sz="12" w:space="3"/>
        </w:pBdr>
        <w:spacing w:beforeLines="0" w:afterLines="0" w:line="240" w:lineRule="auto"/>
        <w:jc w:val="left"/>
        <w:outlineLvl w:val="0"/>
        <w:rPr>
          <w:b/>
          <w:kern w:val="0"/>
          <w:sz w:val="24"/>
          <w:szCs w:val="24"/>
        </w:rPr>
      </w:pPr>
      <w:r>
        <w:rPr>
          <w:b/>
          <w:kern w:val="0"/>
          <w:sz w:val="24"/>
          <w:szCs w:val="24"/>
        </w:rPr>
        <w:t>3 Conclusion</w:t>
      </w:r>
    </w:p>
    <w:p>
      <w:pPr>
        <w:widowControl w:val="0"/>
        <w:numPr>
          <w:ilvl w:val="255"/>
          <w:numId w:val="0"/>
        </w:numPr>
        <w:spacing w:before="120" w:beforeLines="0" w:after="120" w:afterLines="0" w:line="240" w:lineRule="auto"/>
        <w:jc w:val="left"/>
        <w:rPr>
          <w:bCs/>
          <w:kern w:val="0"/>
          <w:szCs w:val="21"/>
        </w:rPr>
      </w:pPr>
      <w:r>
        <w:rPr>
          <w:rFonts w:hint="eastAsia"/>
          <w:sz w:val="20"/>
        </w:rPr>
        <w:t>In this contribution, we give some discussions for inter-band ENDC and intra-band non-contiguous NR CA type 3</w:t>
      </w:r>
      <w:r>
        <w:rPr>
          <w:rFonts w:hint="eastAsia"/>
          <w:sz w:val="20"/>
          <w:lang w:val="en-US" w:eastAsia="zh-CN"/>
        </w:rPr>
        <w:t>a/3b</w:t>
      </w:r>
      <w:r>
        <w:rPr>
          <w:rFonts w:hint="eastAsia"/>
          <w:sz w:val="20"/>
        </w:rPr>
        <w:t xml:space="preserve"> UE. </w:t>
      </w:r>
    </w:p>
    <w:p>
      <w:pPr>
        <w:widowControl w:val="0"/>
        <w:numPr>
          <w:ilvl w:val="255"/>
          <w:numId w:val="0"/>
        </w:numPr>
        <w:spacing w:before="120" w:beforeLines="0" w:after="120" w:afterLines="0" w:line="240" w:lineRule="auto"/>
        <w:jc w:val="left"/>
        <w:rPr>
          <w:bCs/>
          <w:kern w:val="0"/>
          <w:szCs w:val="21"/>
        </w:rPr>
      </w:pPr>
      <w:r>
        <w:rPr>
          <w:rFonts w:hint="eastAsia"/>
          <w:bCs/>
          <w:kern w:val="0"/>
          <w:szCs w:val="21"/>
        </w:rPr>
        <w:t>The conclusions are:</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Proposal 1. To keep the TAE of 3us unchanged.</w:t>
      </w:r>
    </w:p>
    <w:p>
      <w:pPr>
        <w:pStyle w:val="62"/>
        <w:keepLines w:val="0"/>
        <w:widowControl w:val="0"/>
        <w:spacing w:before="120" w:after="120"/>
        <w:ind w:left="0" w:firstLine="0"/>
        <w:rPr>
          <w:b/>
          <w:bCs/>
          <w:i/>
          <w:iCs/>
          <w:kern w:val="2"/>
          <w:lang w:val="en-US" w:eastAsia="zh-CN"/>
        </w:rPr>
      </w:pPr>
      <w:r>
        <w:rPr>
          <w:rFonts w:hint="eastAsia"/>
          <w:b/>
          <w:bCs/>
          <w:i/>
          <w:iCs/>
          <w:kern w:val="2"/>
          <w:lang w:val="en-US" w:eastAsia="zh-CN"/>
        </w:rPr>
        <w:t>Observation 1. In practical deployment, BS is often integrated with GPS or other precise timing device which can provide more accurate timing between BSs.</w:t>
      </w:r>
      <w:r>
        <w:rPr>
          <w:rFonts w:hint="eastAsia"/>
          <w:b/>
          <w:bCs/>
          <w:i/>
          <w:iCs/>
          <w:lang w:val="en-US" w:eastAsia="zh-CN"/>
        </w:rPr>
        <w:t xml:space="preserve"> </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Proposal 2. To study whether the existing measure configuration can be used for identifying the eligible RTD for Type 3a/3b UE.</w:t>
      </w:r>
    </w:p>
    <w:p>
      <w:pPr>
        <w:pStyle w:val="62"/>
        <w:keepLines w:val="0"/>
        <w:widowControl w:val="0"/>
        <w:spacing w:before="120" w:after="120"/>
        <w:ind w:left="0" w:firstLine="0"/>
        <w:rPr>
          <w:rFonts w:hint="default" w:eastAsia="游明朝"/>
          <w:lang w:val="en-US" w:eastAsia="zh-CN"/>
        </w:rPr>
      </w:pPr>
      <w:r>
        <w:rPr>
          <w:rFonts w:hint="eastAsia"/>
          <w:b/>
          <w:bCs/>
          <w:i/>
          <w:iCs/>
          <w:kern w:val="2"/>
          <w:lang w:val="en-US" w:eastAsia="zh-CN"/>
        </w:rPr>
        <w:t>Proposal 3. To study option 1 which cope with 25dB (including the relaxation&lt;25dB) and MRTD&gt;CP.</w:t>
      </w:r>
    </w:p>
    <w:p>
      <w:pPr>
        <w:pStyle w:val="62"/>
        <w:keepLines w:val="0"/>
        <w:widowControl w:val="0"/>
        <w:spacing w:before="120" w:after="120"/>
        <w:ind w:left="0" w:firstLine="0"/>
        <w:rPr>
          <w:rFonts w:hint="default"/>
          <w:b/>
          <w:bCs/>
          <w:i/>
          <w:iCs/>
          <w:kern w:val="2"/>
          <w:lang w:val="en-US" w:eastAsia="zh-CN"/>
        </w:rPr>
      </w:pPr>
      <w:r>
        <w:rPr>
          <w:rFonts w:hint="eastAsia"/>
          <w:b/>
          <w:bCs/>
          <w:i/>
          <w:iCs/>
          <w:kern w:val="2"/>
          <w:lang w:val="en-US" w:eastAsia="zh-CN"/>
        </w:rPr>
        <w:t>Proposal 4. To postpone Type 4a/4b discussion in the future release.</w:t>
      </w: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eastAsia"/>
          <w:sz w:val="20"/>
          <w:lang w:val="en-US" w:eastAsia="zh-CN"/>
        </w:rPr>
      </w:pPr>
      <w:r>
        <w:rPr>
          <w:rFonts w:hint="eastAsia"/>
          <w:sz w:val="20"/>
        </w:rPr>
        <w:t xml:space="preserve">[1] </w:t>
      </w:r>
      <w:bookmarkStart w:id="13" w:name="OLE_LINK32"/>
      <w:r>
        <w:rPr>
          <w:rFonts w:hint="eastAsia"/>
          <w:sz w:val="20"/>
          <w:lang w:val="en-US" w:eastAsia="zh-CN"/>
        </w:rPr>
        <w:t xml:space="preserve"> </w:t>
      </w:r>
      <w:r>
        <w:rPr>
          <w:rFonts w:hint="eastAsia"/>
          <w:sz w:val="20"/>
        </w:rPr>
        <w:t>R4-2303696</w:t>
      </w:r>
      <w:r>
        <w:rPr>
          <w:rFonts w:hint="eastAsia"/>
          <w:sz w:val="20"/>
          <w:lang w:val="en-US" w:eastAsia="zh-CN"/>
        </w:rPr>
        <w:t xml:space="preserve">, </w:t>
      </w:r>
      <w:r>
        <w:rPr>
          <w:rFonts w:hint="eastAsia"/>
          <w:sz w:val="20"/>
        </w:rPr>
        <w:t>WF on UE RF requirements for intra-band non-collocated EN-DC/NR-CA deployment</w:t>
      </w:r>
      <w:r>
        <w:rPr>
          <w:rFonts w:hint="eastAsia"/>
          <w:sz w:val="20"/>
          <w:lang w:val="en-US" w:eastAsia="zh-CN"/>
        </w:rPr>
        <w:t>, KDDI</w:t>
      </w:r>
      <w:bookmarkEnd w:id="13"/>
    </w:p>
    <w:p>
      <w:pPr>
        <w:widowControl w:val="0"/>
        <w:tabs>
          <w:tab w:val="left" w:pos="90"/>
          <w:tab w:val="left" w:pos="1868"/>
          <w:tab w:val="right" w:pos="10648"/>
        </w:tabs>
        <w:spacing w:beforeLines="0" w:afterLines="0" w:line="260" w:lineRule="auto"/>
        <w:jc w:val="left"/>
        <w:rPr>
          <w:rFonts w:hint="default" w:eastAsia="宋体"/>
          <w:sz w:val="20"/>
          <w:lang w:val="en-US" w:eastAsia="zh-CN"/>
        </w:rPr>
      </w:pPr>
      <w:r>
        <w:rPr>
          <w:rFonts w:hint="eastAsia"/>
          <w:sz w:val="20"/>
        </w:rPr>
        <w:t>[</w:t>
      </w:r>
      <w:r>
        <w:rPr>
          <w:rFonts w:hint="eastAsia"/>
          <w:sz w:val="20"/>
          <w:lang w:val="en-US" w:eastAsia="zh-CN"/>
        </w:rPr>
        <w:t>2</w:t>
      </w:r>
      <w:r>
        <w:rPr>
          <w:rFonts w:hint="eastAsia"/>
          <w:sz w:val="20"/>
        </w:rPr>
        <w:t>]</w:t>
      </w:r>
      <w:r>
        <w:rPr>
          <w:rFonts w:hint="eastAsia"/>
          <w:sz w:val="20"/>
          <w:lang w:val="en-US" w:eastAsia="zh-CN"/>
        </w:rPr>
        <w:t xml:space="preserve">  R4-2301236, Discussion on UE RF non-collocated EN-DC and NR-CA, ZTE</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游明朝">
    <w:altName w:val="MS Mincho"/>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5F34D28"/>
    <w:multiLevelType w:val="multilevel"/>
    <w:tmpl w:val="15F34D2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5571150"/>
    <w:multiLevelType w:val="multilevel"/>
    <w:tmpl w:val="3557115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7">
    <w:nsid w:val="51574384"/>
    <w:multiLevelType w:val="multilevel"/>
    <w:tmpl w:val="5157438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8"/>
  </w:num>
  <w:num w:numId="3">
    <w:abstractNumId w:val="4"/>
  </w:num>
  <w:num w:numId="4">
    <w:abstractNumId w:val="6"/>
  </w:num>
  <w:num w:numId="5">
    <w:abstractNumId w:val="1"/>
  </w:num>
  <w:num w:numId="6">
    <w:abstractNumId w:val="0"/>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101B26"/>
    <w:rsid w:val="011A0B49"/>
    <w:rsid w:val="011B4658"/>
    <w:rsid w:val="014A0623"/>
    <w:rsid w:val="01536583"/>
    <w:rsid w:val="01764F01"/>
    <w:rsid w:val="018107C9"/>
    <w:rsid w:val="01854FE9"/>
    <w:rsid w:val="018E207B"/>
    <w:rsid w:val="0190283E"/>
    <w:rsid w:val="019D155B"/>
    <w:rsid w:val="01A428BB"/>
    <w:rsid w:val="01AE307F"/>
    <w:rsid w:val="01B35169"/>
    <w:rsid w:val="01C00B7B"/>
    <w:rsid w:val="01D30D79"/>
    <w:rsid w:val="01D46B8D"/>
    <w:rsid w:val="01D866D8"/>
    <w:rsid w:val="01E309CA"/>
    <w:rsid w:val="01EE2663"/>
    <w:rsid w:val="01F90434"/>
    <w:rsid w:val="01FB366B"/>
    <w:rsid w:val="01FD3930"/>
    <w:rsid w:val="02045ABB"/>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445E8F"/>
    <w:rsid w:val="03496C64"/>
    <w:rsid w:val="035154D3"/>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973F0"/>
    <w:rsid w:val="053E65E7"/>
    <w:rsid w:val="0555228E"/>
    <w:rsid w:val="055A42CC"/>
    <w:rsid w:val="057D1D66"/>
    <w:rsid w:val="058A1B21"/>
    <w:rsid w:val="059D265F"/>
    <w:rsid w:val="05B92EC1"/>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51A9F"/>
    <w:rsid w:val="071C13A8"/>
    <w:rsid w:val="073D143C"/>
    <w:rsid w:val="074855FD"/>
    <w:rsid w:val="07627CA0"/>
    <w:rsid w:val="076319C4"/>
    <w:rsid w:val="076925D2"/>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7FD2652"/>
    <w:rsid w:val="080124E3"/>
    <w:rsid w:val="080C7FA0"/>
    <w:rsid w:val="08193C24"/>
    <w:rsid w:val="08234820"/>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306537"/>
    <w:rsid w:val="09355076"/>
    <w:rsid w:val="09392119"/>
    <w:rsid w:val="09414DB4"/>
    <w:rsid w:val="09445E95"/>
    <w:rsid w:val="09543B3B"/>
    <w:rsid w:val="09600FBD"/>
    <w:rsid w:val="0972595C"/>
    <w:rsid w:val="098143BC"/>
    <w:rsid w:val="098500F1"/>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E3D3D"/>
    <w:rsid w:val="0AA077E0"/>
    <w:rsid w:val="0AC01F88"/>
    <w:rsid w:val="0AC0212C"/>
    <w:rsid w:val="0ACE5B04"/>
    <w:rsid w:val="0AD542C1"/>
    <w:rsid w:val="0ADD5A20"/>
    <w:rsid w:val="0AE10FD9"/>
    <w:rsid w:val="0AF13898"/>
    <w:rsid w:val="0AFB3228"/>
    <w:rsid w:val="0AFC6C07"/>
    <w:rsid w:val="0B0025CC"/>
    <w:rsid w:val="0B0250FD"/>
    <w:rsid w:val="0B0F025C"/>
    <w:rsid w:val="0B1A6333"/>
    <w:rsid w:val="0B2713F4"/>
    <w:rsid w:val="0B3D701F"/>
    <w:rsid w:val="0B3E7DD7"/>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916CE"/>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8B63A3"/>
    <w:rsid w:val="0CA3502C"/>
    <w:rsid w:val="0CB94808"/>
    <w:rsid w:val="0CC37BC2"/>
    <w:rsid w:val="0CD87ABE"/>
    <w:rsid w:val="0CE26C42"/>
    <w:rsid w:val="0CE632FF"/>
    <w:rsid w:val="0CE76B48"/>
    <w:rsid w:val="0CEB5DBE"/>
    <w:rsid w:val="0CF06BF8"/>
    <w:rsid w:val="0CFB523A"/>
    <w:rsid w:val="0D1B1E9C"/>
    <w:rsid w:val="0D4B44A1"/>
    <w:rsid w:val="0D6309C9"/>
    <w:rsid w:val="0D6811B4"/>
    <w:rsid w:val="0D6E2620"/>
    <w:rsid w:val="0D704E21"/>
    <w:rsid w:val="0D7F48FE"/>
    <w:rsid w:val="0D883C88"/>
    <w:rsid w:val="0D936E72"/>
    <w:rsid w:val="0D966BF7"/>
    <w:rsid w:val="0DC64280"/>
    <w:rsid w:val="0DC826FC"/>
    <w:rsid w:val="0DCC3AE8"/>
    <w:rsid w:val="0DD87842"/>
    <w:rsid w:val="0DDF633A"/>
    <w:rsid w:val="0DEB2AC7"/>
    <w:rsid w:val="0DF202E1"/>
    <w:rsid w:val="0DF53CE3"/>
    <w:rsid w:val="0E0961C5"/>
    <w:rsid w:val="0E147898"/>
    <w:rsid w:val="0E2F216B"/>
    <w:rsid w:val="0E3352C6"/>
    <w:rsid w:val="0E3A5EE2"/>
    <w:rsid w:val="0E4D4690"/>
    <w:rsid w:val="0E542F3B"/>
    <w:rsid w:val="0E6271DF"/>
    <w:rsid w:val="0E81568A"/>
    <w:rsid w:val="0E942250"/>
    <w:rsid w:val="0E963344"/>
    <w:rsid w:val="0E9E6E00"/>
    <w:rsid w:val="0EA40C1C"/>
    <w:rsid w:val="0EB1720D"/>
    <w:rsid w:val="0EB72E4B"/>
    <w:rsid w:val="0EEC6F1D"/>
    <w:rsid w:val="0F103291"/>
    <w:rsid w:val="0F1D498B"/>
    <w:rsid w:val="0F1E5A47"/>
    <w:rsid w:val="0F337178"/>
    <w:rsid w:val="0F3B15FC"/>
    <w:rsid w:val="0F41022A"/>
    <w:rsid w:val="0F56743B"/>
    <w:rsid w:val="0F60682C"/>
    <w:rsid w:val="0F6763D9"/>
    <w:rsid w:val="0F715B2B"/>
    <w:rsid w:val="0F764270"/>
    <w:rsid w:val="0F7A20A8"/>
    <w:rsid w:val="0F7F273F"/>
    <w:rsid w:val="0F8418ED"/>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747A4"/>
    <w:rsid w:val="103F19C7"/>
    <w:rsid w:val="104A023B"/>
    <w:rsid w:val="10505F3B"/>
    <w:rsid w:val="106D2686"/>
    <w:rsid w:val="107C3E2C"/>
    <w:rsid w:val="107D41AE"/>
    <w:rsid w:val="108C2479"/>
    <w:rsid w:val="10C715C5"/>
    <w:rsid w:val="10D335EF"/>
    <w:rsid w:val="10E746EA"/>
    <w:rsid w:val="10E83FE0"/>
    <w:rsid w:val="10EC3168"/>
    <w:rsid w:val="10F52718"/>
    <w:rsid w:val="114028DC"/>
    <w:rsid w:val="1141355F"/>
    <w:rsid w:val="116F1EB0"/>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E5106"/>
    <w:rsid w:val="1307341C"/>
    <w:rsid w:val="130C40FE"/>
    <w:rsid w:val="130E3629"/>
    <w:rsid w:val="130F03EB"/>
    <w:rsid w:val="131A4B0F"/>
    <w:rsid w:val="131B39DD"/>
    <w:rsid w:val="13283BA4"/>
    <w:rsid w:val="13332F77"/>
    <w:rsid w:val="13334E1C"/>
    <w:rsid w:val="13346EE4"/>
    <w:rsid w:val="13384952"/>
    <w:rsid w:val="1355107F"/>
    <w:rsid w:val="135D4D2E"/>
    <w:rsid w:val="1366638D"/>
    <w:rsid w:val="136D76E8"/>
    <w:rsid w:val="137266E0"/>
    <w:rsid w:val="13735B23"/>
    <w:rsid w:val="138141DF"/>
    <w:rsid w:val="139D3156"/>
    <w:rsid w:val="13AA5FA1"/>
    <w:rsid w:val="13AF6488"/>
    <w:rsid w:val="13C20262"/>
    <w:rsid w:val="13D024B3"/>
    <w:rsid w:val="13D115EF"/>
    <w:rsid w:val="13D86A45"/>
    <w:rsid w:val="13DD445E"/>
    <w:rsid w:val="13DE7C83"/>
    <w:rsid w:val="13F3590D"/>
    <w:rsid w:val="13FD073F"/>
    <w:rsid w:val="140171D9"/>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60B42"/>
    <w:rsid w:val="14EA1C4D"/>
    <w:rsid w:val="14F14F3B"/>
    <w:rsid w:val="150222BF"/>
    <w:rsid w:val="150F7C33"/>
    <w:rsid w:val="1515004B"/>
    <w:rsid w:val="151B7C99"/>
    <w:rsid w:val="15207BBA"/>
    <w:rsid w:val="152B44F4"/>
    <w:rsid w:val="152F4E1B"/>
    <w:rsid w:val="154D342A"/>
    <w:rsid w:val="15520877"/>
    <w:rsid w:val="1559587F"/>
    <w:rsid w:val="1574662E"/>
    <w:rsid w:val="15751882"/>
    <w:rsid w:val="1575191B"/>
    <w:rsid w:val="157818C6"/>
    <w:rsid w:val="159F73BB"/>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A7EAA"/>
    <w:rsid w:val="171E63FC"/>
    <w:rsid w:val="1722504D"/>
    <w:rsid w:val="17355980"/>
    <w:rsid w:val="1738730F"/>
    <w:rsid w:val="17416499"/>
    <w:rsid w:val="17481B81"/>
    <w:rsid w:val="17481E8B"/>
    <w:rsid w:val="174A69B0"/>
    <w:rsid w:val="175007ED"/>
    <w:rsid w:val="176B45C6"/>
    <w:rsid w:val="176B5780"/>
    <w:rsid w:val="176C447F"/>
    <w:rsid w:val="17850F99"/>
    <w:rsid w:val="17875303"/>
    <w:rsid w:val="178815C4"/>
    <w:rsid w:val="1793626E"/>
    <w:rsid w:val="17991452"/>
    <w:rsid w:val="17A875F5"/>
    <w:rsid w:val="17B5256D"/>
    <w:rsid w:val="17B92501"/>
    <w:rsid w:val="17CC1970"/>
    <w:rsid w:val="17E65848"/>
    <w:rsid w:val="17E66DD8"/>
    <w:rsid w:val="17E84839"/>
    <w:rsid w:val="17EE1403"/>
    <w:rsid w:val="17F25234"/>
    <w:rsid w:val="17FD061B"/>
    <w:rsid w:val="17FF6314"/>
    <w:rsid w:val="18005F41"/>
    <w:rsid w:val="18025414"/>
    <w:rsid w:val="18171305"/>
    <w:rsid w:val="182A241D"/>
    <w:rsid w:val="18334194"/>
    <w:rsid w:val="183E1D37"/>
    <w:rsid w:val="184D0787"/>
    <w:rsid w:val="185D1883"/>
    <w:rsid w:val="185E3AA1"/>
    <w:rsid w:val="18812331"/>
    <w:rsid w:val="18816F1C"/>
    <w:rsid w:val="18853F3E"/>
    <w:rsid w:val="18956393"/>
    <w:rsid w:val="189859AD"/>
    <w:rsid w:val="18A8582C"/>
    <w:rsid w:val="18B50543"/>
    <w:rsid w:val="18B60776"/>
    <w:rsid w:val="18C9089D"/>
    <w:rsid w:val="18CA40C3"/>
    <w:rsid w:val="18CD7A02"/>
    <w:rsid w:val="18ED46F4"/>
    <w:rsid w:val="19001FFC"/>
    <w:rsid w:val="190E2B4A"/>
    <w:rsid w:val="191F7D1E"/>
    <w:rsid w:val="19256D7A"/>
    <w:rsid w:val="192A7C07"/>
    <w:rsid w:val="193275C2"/>
    <w:rsid w:val="194D2005"/>
    <w:rsid w:val="19655A52"/>
    <w:rsid w:val="19663168"/>
    <w:rsid w:val="197724BD"/>
    <w:rsid w:val="19786B0A"/>
    <w:rsid w:val="198A41A1"/>
    <w:rsid w:val="19987C27"/>
    <w:rsid w:val="199A2059"/>
    <w:rsid w:val="19B02FFE"/>
    <w:rsid w:val="19B30945"/>
    <w:rsid w:val="19B46E10"/>
    <w:rsid w:val="19C456C1"/>
    <w:rsid w:val="19F061A1"/>
    <w:rsid w:val="1A054259"/>
    <w:rsid w:val="1A081816"/>
    <w:rsid w:val="1A0C5680"/>
    <w:rsid w:val="1A165171"/>
    <w:rsid w:val="1A2A4993"/>
    <w:rsid w:val="1A4858FF"/>
    <w:rsid w:val="1A4C698A"/>
    <w:rsid w:val="1A5D5219"/>
    <w:rsid w:val="1A5E4B5A"/>
    <w:rsid w:val="1A672B1C"/>
    <w:rsid w:val="1A76068B"/>
    <w:rsid w:val="1A8301C0"/>
    <w:rsid w:val="1A872248"/>
    <w:rsid w:val="1A9B2279"/>
    <w:rsid w:val="1A9E6232"/>
    <w:rsid w:val="1AA2105D"/>
    <w:rsid w:val="1AA57BA7"/>
    <w:rsid w:val="1AA74D3D"/>
    <w:rsid w:val="1AB34DB4"/>
    <w:rsid w:val="1AB613FD"/>
    <w:rsid w:val="1ACF5EB8"/>
    <w:rsid w:val="1AD26086"/>
    <w:rsid w:val="1ADD5ACE"/>
    <w:rsid w:val="1AE013F8"/>
    <w:rsid w:val="1AE2274E"/>
    <w:rsid w:val="1AE8570C"/>
    <w:rsid w:val="1AF54203"/>
    <w:rsid w:val="1AFB06A3"/>
    <w:rsid w:val="1B0F19AE"/>
    <w:rsid w:val="1B2160BB"/>
    <w:rsid w:val="1B35751E"/>
    <w:rsid w:val="1B3637AD"/>
    <w:rsid w:val="1B3E0DB5"/>
    <w:rsid w:val="1B454C94"/>
    <w:rsid w:val="1B6C0DF0"/>
    <w:rsid w:val="1B7416EE"/>
    <w:rsid w:val="1B7F6005"/>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56717F"/>
    <w:rsid w:val="1D5F5386"/>
    <w:rsid w:val="1D7072CE"/>
    <w:rsid w:val="1D794A16"/>
    <w:rsid w:val="1D9E30A9"/>
    <w:rsid w:val="1DAB1006"/>
    <w:rsid w:val="1DB33C11"/>
    <w:rsid w:val="1DC65562"/>
    <w:rsid w:val="1DE94164"/>
    <w:rsid w:val="1DEE1B11"/>
    <w:rsid w:val="1E1149E3"/>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E5D6B"/>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1E6D7C"/>
    <w:rsid w:val="20446081"/>
    <w:rsid w:val="204852AD"/>
    <w:rsid w:val="204B330F"/>
    <w:rsid w:val="204E6676"/>
    <w:rsid w:val="205A5AA0"/>
    <w:rsid w:val="20773A28"/>
    <w:rsid w:val="208115A6"/>
    <w:rsid w:val="208574F4"/>
    <w:rsid w:val="208C4449"/>
    <w:rsid w:val="208F6BAF"/>
    <w:rsid w:val="20A462BA"/>
    <w:rsid w:val="20BF2AAC"/>
    <w:rsid w:val="20C849C7"/>
    <w:rsid w:val="20DF66D2"/>
    <w:rsid w:val="20EC3F2E"/>
    <w:rsid w:val="20EC7C3E"/>
    <w:rsid w:val="210548E9"/>
    <w:rsid w:val="21124D15"/>
    <w:rsid w:val="211C6B81"/>
    <w:rsid w:val="213E7119"/>
    <w:rsid w:val="21530058"/>
    <w:rsid w:val="21732704"/>
    <w:rsid w:val="21810744"/>
    <w:rsid w:val="218D6EF5"/>
    <w:rsid w:val="2195668B"/>
    <w:rsid w:val="219F69EC"/>
    <w:rsid w:val="21A130EA"/>
    <w:rsid w:val="21AB278B"/>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72CF0"/>
    <w:rsid w:val="239C062C"/>
    <w:rsid w:val="23A9484E"/>
    <w:rsid w:val="23B32F98"/>
    <w:rsid w:val="23B84268"/>
    <w:rsid w:val="23D17D7B"/>
    <w:rsid w:val="23D36D91"/>
    <w:rsid w:val="23ED400D"/>
    <w:rsid w:val="23F70BA5"/>
    <w:rsid w:val="23F93D0D"/>
    <w:rsid w:val="2405417E"/>
    <w:rsid w:val="241B5C62"/>
    <w:rsid w:val="24352A14"/>
    <w:rsid w:val="243B2F20"/>
    <w:rsid w:val="2458381E"/>
    <w:rsid w:val="245872F9"/>
    <w:rsid w:val="245943D9"/>
    <w:rsid w:val="245E6B64"/>
    <w:rsid w:val="2463385E"/>
    <w:rsid w:val="248F4B88"/>
    <w:rsid w:val="24967323"/>
    <w:rsid w:val="249D5FC8"/>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4E766A"/>
    <w:rsid w:val="297161D3"/>
    <w:rsid w:val="2978319A"/>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2B6079"/>
    <w:rsid w:val="2B313FC1"/>
    <w:rsid w:val="2B347C14"/>
    <w:rsid w:val="2B39348E"/>
    <w:rsid w:val="2B3B2EA6"/>
    <w:rsid w:val="2B437285"/>
    <w:rsid w:val="2B474E9C"/>
    <w:rsid w:val="2B494377"/>
    <w:rsid w:val="2B4D695C"/>
    <w:rsid w:val="2B514803"/>
    <w:rsid w:val="2B637D4B"/>
    <w:rsid w:val="2B6B1684"/>
    <w:rsid w:val="2B7B70BF"/>
    <w:rsid w:val="2B7E4C41"/>
    <w:rsid w:val="2B853AF3"/>
    <w:rsid w:val="2B8B422C"/>
    <w:rsid w:val="2BA07D38"/>
    <w:rsid w:val="2BC40957"/>
    <w:rsid w:val="2BCB5DAA"/>
    <w:rsid w:val="2BD65380"/>
    <w:rsid w:val="2BE725D0"/>
    <w:rsid w:val="2BF369B9"/>
    <w:rsid w:val="2BFC0A4A"/>
    <w:rsid w:val="2C094904"/>
    <w:rsid w:val="2C0E55A1"/>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74898"/>
    <w:rsid w:val="2D6B40A9"/>
    <w:rsid w:val="2D8703A1"/>
    <w:rsid w:val="2D8A3FA2"/>
    <w:rsid w:val="2D9767DC"/>
    <w:rsid w:val="2D980DDC"/>
    <w:rsid w:val="2D987372"/>
    <w:rsid w:val="2D9D0109"/>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DD7896"/>
    <w:rsid w:val="2EEA6E65"/>
    <w:rsid w:val="2EF33C7C"/>
    <w:rsid w:val="2F00052B"/>
    <w:rsid w:val="2F0367CD"/>
    <w:rsid w:val="2F1251F2"/>
    <w:rsid w:val="2F2D445E"/>
    <w:rsid w:val="2F4F6FBB"/>
    <w:rsid w:val="2F664E2B"/>
    <w:rsid w:val="2F6C7BE3"/>
    <w:rsid w:val="2F783485"/>
    <w:rsid w:val="2F7F5C0B"/>
    <w:rsid w:val="2FA0088D"/>
    <w:rsid w:val="2FA6492D"/>
    <w:rsid w:val="2FC03679"/>
    <w:rsid w:val="2FC3176C"/>
    <w:rsid w:val="2FC86676"/>
    <w:rsid w:val="2FD17A1B"/>
    <w:rsid w:val="2FD71CA4"/>
    <w:rsid w:val="2FDC4A8D"/>
    <w:rsid w:val="2FF93066"/>
    <w:rsid w:val="301A71CE"/>
    <w:rsid w:val="301E049B"/>
    <w:rsid w:val="302A4BE6"/>
    <w:rsid w:val="304478EC"/>
    <w:rsid w:val="30515C8E"/>
    <w:rsid w:val="3069301C"/>
    <w:rsid w:val="307B0C38"/>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A7A1E"/>
    <w:rsid w:val="315E0B0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3D0AE8"/>
    <w:rsid w:val="324A3219"/>
    <w:rsid w:val="32537B57"/>
    <w:rsid w:val="325779E7"/>
    <w:rsid w:val="325F618E"/>
    <w:rsid w:val="32757E99"/>
    <w:rsid w:val="327D43E5"/>
    <w:rsid w:val="328F5534"/>
    <w:rsid w:val="329A6ACE"/>
    <w:rsid w:val="32A145CA"/>
    <w:rsid w:val="32A230DB"/>
    <w:rsid w:val="32BE0772"/>
    <w:rsid w:val="32DF351E"/>
    <w:rsid w:val="32EE5E41"/>
    <w:rsid w:val="32F40F87"/>
    <w:rsid w:val="32FD7C76"/>
    <w:rsid w:val="330643F9"/>
    <w:rsid w:val="330C22FC"/>
    <w:rsid w:val="330D4310"/>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04592"/>
    <w:rsid w:val="33D7554F"/>
    <w:rsid w:val="33FE62E7"/>
    <w:rsid w:val="340221A6"/>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324C4"/>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C06D50"/>
    <w:rsid w:val="35CD6F14"/>
    <w:rsid w:val="35D24294"/>
    <w:rsid w:val="35D71152"/>
    <w:rsid w:val="35FF6F3C"/>
    <w:rsid w:val="36075F27"/>
    <w:rsid w:val="360D1C5B"/>
    <w:rsid w:val="36121506"/>
    <w:rsid w:val="36182B79"/>
    <w:rsid w:val="361D7A43"/>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93760"/>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394E"/>
    <w:rsid w:val="37987437"/>
    <w:rsid w:val="379F33FC"/>
    <w:rsid w:val="37A432E4"/>
    <w:rsid w:val="37A86196"/>
    <w:rsid w:val="37AD1354"/>
    <w:rsid w:val="37BB3C3C"/>
    <w:rsid w:val="37C94031"/>
    <w:rsid w:val="37CA042E"/>
    <w:rsid w:val="37D44549"/>
    <w:rsid w:val="37D77B09"/>
    <w:rsid w:val="37D97EDE"/>
    <w:rsid w:val="37E76E34"/>
    <w:rsid w:val="380D02B1"/>
    <w:rsid w:val="382B1BDF"/>
    <w:rsid w:val="382E392C"/>
    <w:rsid w:val="38342E90"/>
    <w:rsid w:val="384B7332"/>
    <w:rsid w:val="385056AF"/>
    <w:rsid w:val="386652BF"/>
    <w:rsid w:val="38693DA0"/>
    <w:rsid w:val="386A7142"/>
    <w:rsid w:val="38706DCB"/>
    <w:rsid w:val="388E5848"/>
    <w:rsid w:val="38A341A7"/>
    <w:rsid w:val="38BA6810"/>
    <w:rsid w:val="38BD31EE"/>
    <w:rsid w:val="38CB3BDF"/>
    <w:rsid w:val="38D33D29"/>
    <w:rsid w:val="38D41CCF"/>
    <w:rsid w:val="38D62E18"/>
    <w:rsid w:val="38E40A5B"/>
    <w:rsid w:val="38E842BA"/>
    <w:rsid w:val="38F16A28"/>
    <w:rsid w:val="391A3359"/>
    <w:rsid w:val="39285D57"/>
    <w:rsid w:val="394B6470"/>
    <w:rsid w:val="395C6EA8"/>
    <w:rsid w:val="39872512"/>
    <w:rsid w:val="39A602F9"/>
    <w:rsid w:val="39BD45C8"/>
    <w:rsid w:val="39C2316A"/>
    <w:rsid w:val="39C44028"/>
    <w:rsid w:val="39E643EA"/>
    <w:rsid w:val="39F36281"/>
    <w:rsid w:val="39FA0290"/>
    <w:rsid w:val="39FD376D"/>
    <w:rsid w:val="39FD6C9C"/>
    <w:rsid w:val="3A0224B9"/>
    <w:rsid w:val="3A16728B"/>
    <w:rsid w:val="3A16794C"/>
    <w:rsid w:val="3A1F6809"/>
    <w:rsid w:val="3A226969"/>
    <w:rsid w:val="3A3F47CE"/>
    <w:rsid w:val="3A4E1C5D"/>
    <w:rsid w:val="3A523735"/>
    <w:rsid w:val="3A557AE4"/>
    <w:rsid w:val="3A6B0F84"/>
    <w:rsid w:val="3A727435"/>
    <w:rsid w:val="3A813EA6"/>
    <w:rsid w:val="3A8302D9"/>
    <w:rsid w:val="3A94055A"/>
    <w:rsid w:val="3AA90B75"/>
    <w:rsid w:val="3AB00167"/>
    <w:rsid w:val="3ABF30D9"/>
    <w:rsid w:val="3AC17E3A"/>
    <w:rsid w:val="3ACB5746"/>
    <w:rsid w:val="3ACE209E"/>
    <w:rsid w:val="3ADD1594"/>
    <w:rsid w:val="3ADD2B05"/>
    <w:rsid w:val="3AE417E3"/>
    <w:rsid w:val="3AE440AF"/>
    <w:rsid w:val="3AF7667E"/>
    <w:rsid w:val="3B113F51"/>
    <w:rsid w:val="3B192990"/>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76807"/>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5F2B5C"/>
    <w:rsid w:val="3D62706F"/>
    <w:rsid w:val="3D6E2272"/>
    <w:rsid w:val="3D7C727A"/>
    <w:rsid w:val="3D81786B"/>
    <w:rsid w:val="3D830417"/>
    <w:rsid w:val="3D877AC5"/>
    <w:rsid w:val="3D882D35"/>
    <w:rsid w:val="3D8D2848"/>
    <w:rsid w:val="3D94235D"/>
    <w:rsid w:val="3D9461E1"/>
    <w:rsid w:val="3DB34E86"/>
    <w:rsid w:val="3DB90549"/>
    <w:rsid w:val="3DBA0A4C"/>
    <w:rsid w:val="3DC46444"/>
    <w:rsid w:val="3DED0F96"/>
    <w:rsid w:val="3DF776C4"/>
    <w:rsid w:val="3DF95812"/>
    <w:rsid w:val="3E1D4B24"/>
    <w:rsid w:val="3E3A04FA"/>
    <w:rsid w:val="3E3D6B96"/>
    <w:rsid w:val="3E441C7D"/>
    <w:rsid w:val="3E490256"/>
    <w:rsid w:val="3E55739E"/>
    <w:rsid w:val="3E610D47"/>
    <w:rsid w:val="3E6C43C8"/>
    <w:rsid w:val="3E8227F0"/>
    <w:rsid w:val="3E937F82"/>
    <w:rsid w:val="3E9B4B40"/>
    <w:rsid w:val="3EB71AC8"/>
    <w:rsid w:val="3EC85E34"/>
    <w:rsid w:val="3ECF2AAC"/>
    <w:rsid w:val="3ED0424C"/>
    <w:rsid w:val="3ED07B7E"/>
    <w:rsid w:val="3ED655CD"/>
    <w:rsid w:val="3EED4B87"/>
    <w:rsid w:val="3EF31E7F"/>
    <w:rsid w:val="3EF36DF0"/>
    <w:rsid w:val="3F035EE1"/>
    <w:rsid w:val="3F0406D4"/>
    <w:rsid w:val="3F053EF6"/>
    <w:rsid w:val="3F093188"/>
    <w:rsid w:val="3F173F6B"/>
    <w:rsid w:val="3F1E1DE8"/>
    <w:rsid w:val="3F253B0C"/>
    <w:rsid w:val="3F2C04C4"/>
    <w:rsid w:val="3F3E7C9F"/>
    <w:rsid w:val="3F416B99"/>
    <w:rsid w:val="3F477080"/>
    <w:rsid w:val="3F4F5AD7"/>
    <w:rsid w:val="3F643908"/>
    <w:rsid w:val="3F6B75A6"/>
    <w:rsid w:val="3F8C0A49"/>
    <w:rsid w:val="3F8E7DCD"/>
    <w:rsid w:val="3F913853"/>
    <w:rsid w:val="3F9660C3"/>
    <w:rsid w:val="3F9724DD"/>
    <w:rsid w:val="3FA514FA"/>
    <w:rsid w:val="3FA827ED"/>
    <w:rsid w:val="3FB45C58"/>
    <w:rsid w:val="3FC36557"/>
    <w:rsid w:val="3FC956FF"/>
    <w:rsid w:val="3FD13F50"/>
    <w:rsid w:val="3FDC5F31"/>
    <w:rsid w:val="3FE04625"/>
    <w:rsid w:val="3FE86CE8"/>
    <w:rsid w:val="3FFB0F66"/>
    <w:rsid w:val="3FFC05FC"/>
    <w:rsid w:val="40146E6B"/>
    <w:rsid w:val="403052F1"/>
    <w:rsid w:val="40330D29"/>
    <w:rsid w:val="404469FD"/>
    <w:rsid w:val="404A2717"/>
    <w:rsid w:val="404E779F"/>
    <w:rsid w:val="4059090D"/>
    <w:rsid w:val="4065170A"/>
    <w:rsid w:val="406E5CAB"/>
    <w:rsid w:val="40713C35"/>
    <w:rsid w:val="408376F8"/>
    <w:rsid w:val="40901AD0"/>
    <w:rsid w:val="40A25054"/>
    <w:rsid w:val="40A325E0"/>
    <w:rsid w:val="40B7228C"/>
    <w:rsid w:val="40BD0DA1"/>
    <w:rsid w:val="40EC7D18"/>
    <w:rsid w:val="40ED11A0"/>
    <w:rsid w:val="40FD1BF0"/>
    <w:rsid w:val="40FE7A3D"/>
    <w:rsid w:val="41096BC0"/>
    <w:rsid w:val="410A75B6"/>
    <w:rsid w:val="410B452A"/>
    <w:rsid w:val="41146D26"/>
    <w:rsid w:val="413353F1"/>
    <w:rsid w:val="41513BC9"/>
    <w:rsid w:val="41735B7F"/>
    <w:rsid w:val="41887DF8"/>
    <w:rsid w:val="419E60D3"/>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B5824"/>
    <w:rsid w:val="42616DD3"/>
    <w:rsid w:val="426973AD"/>
    <w:rsid w:val="426F56CA"/>
    <w:rsid w:val="427A67A1"/>
    <w:rsid w:val="427E0B36"/>
    <w:rsid w:val="42A03D98"/>
    <w:rsid w:val="42A729F1"/>
    <w:rsid w:val="42B94BC1"/>
    <w:rsid w:val="42C30254"/>
    <w:rsid w:val="42C42A08"/>
    <w:rsid w:val="42C7649B"/>
    <w:rsid w:val="42D064B1"/>
    <w:rsid w:val="42D41F6D"/>
    <w:rsid w:val="42D5342A"/>
    <w:rsid w:val="42DE48A3"/>
    <w:rsid w:val="42E16058"/>
    <w:rsid w:val="42F17BF5"/>
    <w:rsid w:val="42F30D8B"/>
    <w:rsid w:val="42F87EC9"/>
    <w:rsid w:val="42FA45BF"/>
    <w:rsid w:val="430E7E66"/>
    <w:rsid w:val="4332317A"/>
    <w:rsid w:val="433246A0"/>
    <w:rsid w:val="433325E5"/>
    <w:rsid w:val="433E162C"/>
    <w:rsid w:val="433F6B54"/>
    <w:rsid w:val="4346543A"/>
    <w:rsid w:val="43533E29"/>
    <w:rsid w:val="435B1259"/>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300615"/>
    <w:rsid w:val="44371929"/>
    <w:rsid w:val="443740AF"/>
    <w:rsid w:val="443F5998"/>
    <w:rsid w:val="44480935"/>
    <w:rsid w:val="444851FA"/>
    <w:rsid w:val="44544CC5"/>
    <w:rsid w:val="445E4DEE"/>
    <w:rsid w:val="44640994"/>
    <w:rsid w:val="446B0434"/>
    <w:rsid w:val="44756A66"/>
    <w:rsid w:val="447E4EBE"/>
    <w:rsid w:val="447F0CBA"/>
    <w:rsid w:val="44957F46"/>
    <w:rsid w:val="44994CF5"/>
    <w:rsid w:val="44AD40AD"/>
    <w:rsid w:val="44BE0153"/>
    <w:rsid w:val="44DC46EB"/>
    <w:rsid w:val="44EA6491"/>
    <w:rsid w:val="44F03F8F"/>
    <w:rsid w:val="44F14ECF"/>
    <w:rsid w:val="44F8119B"/>
    <w:rsid w:val="4504328F"/>
    <w:rsid w:val="45275172"/>
    <w:rsid w:val="45332511"/>
    <w:rsid w:val="453F44DA"/>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D37F0B"/>
    <w:rsid w:val="46D71533"/>
    <w:rsid w:val="46E53335"/>
    <w:rsid w:val="47155D89"/>
    <w:rsid w:val="473069AF"/>
    <w:rsid w:val="474A0EAF"/>
    <w:rsid w:val="474E50BE"/>
    <w:rsid w:val="47696F9C"/>
    <w:rsid w:val="47714F1F"/>
    <w:rsid w:val="47725A17"/>
    <w:rsid w:val="477D3243"/>
    <w:rsid w:val="478821A1"/>
    <w:rsid w:val="479128A9"/>
    <w:rsid w:val="47975EDC"/>
    <w:rsid w:val="47983B19"/>
    <w:rsid w:val="47A3609D"/>
    <w:rsid w:val="47C01792"/>
    <w:rsid w:val="47C57A48"/>
    <w:rsid w:val="47D511BD"/>
    <w:rsid w:val="4808150F"/>
    <w:rsid w:val="480F51A8"/>
    <w:rsid w:val="48256B1B"/>
    <w:rsid w:val="48282713"/>
    <w:rsid w:val="482C2D7C"/>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1B63DF"/>
    <w:rsid w:val="491D63E9"/>
    <w:rsid w:val="4932285C"/>
    <w:rsid w:val="49384E02"/>
    <w:rsid w:val="493E2F78"/>
    <w:rsid w:val="495217DF"/>
    <w:rsid w:val="49530EA7"/>
    <w:rsid w:val="4958367A"/>
    <w:rsid w:val="498A16CD"/>
    <w:rsid w:val="49934229"/>
    <w:rsid w:val="49A33C27"/>
    <w:rsid w:val="49A750B5"/>
    <w:rsid w:val="49BE07DA"/>
    <w:rsid w:val="49C84AA0"/>
    <w:rsid w:val="49D7694D"/>
    <w:rsid w:val="4A0244D3"/>
    <w:rsid w:val="4A067C85"/>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F02EA1"/>
    <w:rsid w:val="4B174032"/>
    <w:rsid w:val="4B250CF8"/>
    <w:rsid w:val="4B2873FD"/>
    <w:rsid w:val="4B3D4DE9"/>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D1F92"/>
    <w:rsid w:val="4C603F16"/>
    <w:rsid w:val="4C6262E0"/>
    <w:rsid w:val="4C644C45"/>
    <w:rsid w:val="4C6703A3"/>
    <w:rsid w:val="4C6D7518"/>
    <w:rsid w:val="4C923A72"/>
    <w:rsid w:val="4CB96B0F"/>
    <w:rsid w:val="4CBD582C"/>
    <w:rsid w:val="4CC95E72"/>
    <w:rsid w:val="4CDA2AF3"/>
    <w:rsid w:val="4CDF19B6"/>
    <w:rsid w:val="4CE34E9F"/>
    <w:rsid w:val="4CF52D94"/>
    <w:rsid w:val="4D015C34"/>
    <w:rsid w:val="4D030742"/>
    <w:rsid w:val="4D462159"/>
    <w:rsid w:val="4D47409F"/>
    <w:rsid w:val="4D525BE3"/>
    <w:rsid w:val="4D566017"/>
    <w:rsid w:val="4D6022FC"/>
    <w:rsid w:val="4D637556"/>
    <w:rsid w:val="4D7D3EFB"/>
    <w:rsid w:val="4D882A74"/>
    <w:rsid w:val="4D8B0123"/>
    <w:rsid w:val="4DA1281F"/>
    <w:rsid w:val="4DAF14C5"/>
    <w:rsid w:val="4DB9067A"/>
    <w:rsid w:val="4DC605B6"/>
    <w:rsid w:val="4DD732D2"/>
    <w:rsid w:val="4DEC0985"/>
    <w:rsid w:val="4E0538A3"/>
    <w:rsid w:val="4E0E6818"/>
    <w:rsid w:val="4E2603A1"/>
    <w:rsid w:val="4E27683A"/>
    <w:rsid w:val="4E321D35"/>
    <w:rsid w:val="4E397241"/>
    <w:rsid w:val="4E4C50A3"/>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BD3E8B"/>
    <w:rsid w:val="4EDB58B2"/>
    <w:rsid w:val="4EE925CE"/>
    <w:rsid w:val="4EEB1A94"/>
    <w:rsid w:val="4EEB74E5"/>
    <w:rsid w:val="4EEF2E30"/>
    <w:rsid w:val="4EF24828"/>
    <w:rsid w:val="4EFE7F59"/>
    <w:rsid w:val="4F285975"/>
    <w:rsid w:val="4F2A7BF3"/>
    <w:rsid w:val="4F2E2624"/>
    <w:rsid w:val="4F4E1077"/>
    <w:rsid w:val="4F546156"/>
    <w:rsid w:val="4F5D1434"/>
    <w:rsid w:val="4F844A99"/>
    <w:rsid w:val="4F94662C"/>
    <w:rsid w:val="4FB00163"/>
    <w:rsid w:val="4FB208E7"/>
    <w:rsid w:val="4FE30332"/>
    <w:rsid w:val="4FE70BB4"/>
    <w:rsid w:val="4FE73C01"/>
    <w:rsid w:val="4FE87C31"/>
    <w:rsid w:val="4FEE342A"/>
    <w:rsid w:val="4FF14DCF"/>
    <w:rsid w:val="500815B6"/>
    <w:rsid w:val="500B39BC"/>
    <w:rsid w:val="502173F8"/>
    <w:rsid w:val="5022123F"/>
    <w:rsid w:val="5025703C"/>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53936"/>
    <w:rsid w:val="519E116A"/>
    <w:rsid w:val="51A2793A"/>
    <w:rsid w:val="51BA0CB7"/>
    <w:rsid w:val="51D129CA"/>
    <w:rsid w:val="51D93F8A"/>
    <w:rsid w:val="51D940B1"/>
    <w:rsid w:val="51E5046A"/>
    <w:rsid w:val="52272B85"/>
    <w:rsid w:val="52284E31"/>
    <w:rsid w:val="523E09B5"/>
    <w:rsid w:val="52687B2A"/>
    <w:rsid w:val="526E0E82"/>
    <w:rsid w:val="527733A7"/>
    <w:rsid w:val="527901C6"/>
    <w:rsid w:val="528F4A24"/>
    <w:rsid w:val="52944BB6"/>
    <w:rsid w:val="529A08FC"/>
    <w:rsid w:val="52A24532"/>
    <w:rsid w:val="52B3363A"/>
    <w:rsid w:val="52C4763C"/>
    <w:rsid w:val="52DE691D"/>
    <w:rsid w:val="52E04D27"/>
    <w:rsid w:val="52ED0C96"/>
    <w:rsid w:val="53061721"/>
    <w:rsid w:val="530C0E6B"/>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FE7128"/>
    <w:rsid w:val="540F3D40"/>
    <w:rsid w:val="54201800"/>
    <w:rsid w:val="54247F22"/>
    <w:rsid w:val="542B4430"/>
    <w:rsid w:val="542C29CD"/>
    <w:rsid w:val="542F1551"/>
    <w:rsid w:val="54381756"/>
    <w:rsid w:val="545750B7"/>
    <w:rsid w:val="545A1EBF"/>
    <w:rsid w:val="54727478"/>
    <w:rsid w:val="54B06F11"/>
    <w:rsid w:val="54B56DF4"/>
    <w:rsid w:val="54B93943"/>
    <w:rsid w:val="54BE5578"/>
    <w:rsid w:val="54BF52B5"/>
    <w:rsid w:val="54CA1A63"/>
    <w:rsid w:val="54CF2D6E"/>
    <w:rsid w:val="54D202CA"/>
    <w:rsid w:val="54D54E59"/>
    <w:rsid w:val="54DD41DB"/>
    <w:rsid w:val="54ED3D78"/>
    <w:rsid w:val="54F52BA3"/>
    <w:rsid w:val="54F54E04"/>
    <w:rsid w:val="54FC55EC"/>
    <w:rsid w:val="550B4121"/>
    <w:rsid w:val="550D5CFC"/>
    <w:rsid w:val="550F3357"/>
    <w:rsid w:val="55126CC5"/>
    <w:rsid w:val="55197997"/>
    <w:rsid w:val="551B7F0A"/>
    <w:rsid w:val="552A6B56"/>
    <w:rsid w:val="5532385A"/>
    <w:rsid w:val="55381D42"/>
    <w:rsid w:val="553C58B1"/>
    <w:rsid w:val="55401B14"/>
    <w:rsid w:val="554748F2"/>
    <w:rsid w:val="554D414C"/>
    <w:rsid w:val="554E7279"/>
    <w:rsid w:val="55594FFB"/>
    <w:rsid w:val="55637CEB"/>
    <w:rsid w:val="55677DDA"/>
    <w:rsid w:val="55757FB9"/>
    <w:rsid w:val="55832BF8"/>
    <w:rsid w:val="55884237"/>
    <w:rsid w:val="558C7FAA"/>
    <w:rsid w:val="55900510"/>
    <w:rsid w:val="55947881"/>
    <w:rsid w:val="55A25EB7"/>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7644B"/>
    <w:rsid w:val="56E84A97"/>
    <w:rsid w:val="56FB2A68"/>
    <w:rsid w:val="57011F3E"/>
    <w:rsid w:val="5705646B"/>
    <w:rsid w:val="57060649"/>
    <w:rsid w:val="572657E3"/>
    <w:rsid w:val="5732705F"/>
    <w:rsid w:val="57351D6F"/>
    <w:rsid w:val="57482CC2"/>
    <w:rsid w:val="5752012F"/>
    <w:rsid w:val="576476C1"/>
    <w:rsid w:val="57770501"/>
    <w:rsid w:val="577B3337"/>
    <w:rsid w:val="577D4F28"/>
    <w:rsid w:val="57A33734"/>
    <w:rsid w:val="57AB6ADD"/>
    <w:rsid w:val="57B7178E"/>
    <w:rsid w:val="57B71EB5"/>
    <w:rsid w:val="57B76EED"/>
    <w:rsid w:val="57BD72A7"/>
    <w:rsid w:val="57BE5838"/>
    <w:rsid w:val="57BE5B51"/>
    <w:rsid w:val="57D82354"/>
    <w:rsid w:val="57FC07D9"/>
    <w:rsid w:val="57FF6992"/>
    <w:rsid w:val="580F1B21"/>
    <w:rsid w:val="581B7E79"/>
    <w:rsid w:val="58500F22"/>
    <w:rsid w:val="58587379"/>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3559FD"/>
    <w:rsid w:val="594079B2"/>
    <w:rsid w:val="596A688E"/>
    <w:rsid w:val="5987482A"/>
    <w:rsid w:val="598C6F19"/>
    <w:rsid w:val="599C49A8"/>
    <w:rsid w:val="59A36725"/>
    <w:rsid w:val="59B21BF9"/>
    <w:rsid w:val="59BB4EA3"/>
    <w:rsid w:val="59E9525B"/>
    <w:rsid w:val="59EA4433"/>
    <w:rsid w:val="59F01012"/>
    <w:rsid w:val="59F70BAF"/>
    <w:rsid w:val="5A0D5C90"/>
    <w:rsid w:val="5A0F4AFB"/>
    <w:rsid w:val="5A297D0D"/>
    <w:rsid w:val="5A3B166C"/>
    <w:rsid w:val="5A3C0F08"/>
    <w:rsid w:val="5A3E5B83"/>
    <w:rsid w:val="5A54407C"/>
    <w:rsid w:val="5A5663A3"/>
    <w:rsid w:val="5A571746"/>
    <w:rsid w:val="5A6253E3"/>
    <w:rsid w:val="5A680E5C"/>
    <w:rsid w:val="5A8E2B19"/>
    <w:rsid w:val="5A8E6670"/>
    <w:rsid w:val="5A912613"/>
    <w:rsid w:val="5A9245E9"/>
    <w:rsid w:val="5A953D41"/>
    <w:rsid w:val="5ABC50F4"/>
    <w:rsid w:val="5AC27E1F"/>
    <w:rsid w:val="5ACC4940"/>
    <w:rsid w:val="5AD23086"/>
    <w:rsid w:val="5AD86A6D"/>
    <w:rsid w:val="5AEC14F6"/>
    <w:rsid w:val="5AF124A4"/>
    <w:rsid w:val="5B0D2D1B"/>
    <w:rsid w:val="5B141085"/>
    <w:rsid w:val="5B28192B"/>
    <w:rsid w:val="5B342BAD"/>
    <w:rsid w:val="5B4007EF"/>
    <w:rsid w:val="5B4D1F7C"/>
    <w:rsid w:val="5B551A1D"/>
    <w:rsid w:val="5B66707B"/>
    <w:rsid w:val="5B673066"/>
    <w:rsid w:val="5B6A48A8"/>
    <w:rsid w:val="5B731FA9"/>
    <w:rsid w:val="5B785E83"/>
    <w:rsid w:val="5B7C1CD1"/>
    <w:rsid w:val="5B9004A9"/>
    <w:rsid w:val="5B907C6C"/>
    <w:rsid w:val="5B9251EF"/>
    <w:rsid w:val="5BAB5BC4"/>
    <w:rsid w:val="5BB054DF"/>
    <w:rsid w:val="5BB20B74"/>
    <w:rsid w:val="5BC677D8"/>
    <w:rsid w:val="5BEB0120"/>
    <w:rsid w:val="5BEC175C"/>
    <w:rsid w:val="5C097C4E"/>
    <w:rsid w:val="5C1A3A93"/>
    <w:rsid w:val="5C235386"/>
    <w:rsid w:val="5C3B6CFC"/>
    <w:rsid w:val="5C4C2CF4"/>
    <w:rsid w:val="5C615117"/>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8584C"/>
    <w:rsid w:val="5D2F4802"/>
    <w:rsid w:val="5D3444E6"/>
    <w:rsid w:val="5D3F0BDF"/>
    <w:rsid w:val="5D4806B6"/>
    <w:rsid w:val="5D5B7098"/>
    <w:rsid w:val="5D634782"/>
    <w:rsid w:val="5D654194"/>
    <w:rsid w:val="5D6B2B6F"/>
    <w:rsid w:val="5D6E1B86"/>
    <w:rsid w:val="5D725A84"/>
    <w:rsid w:val="5D8A2CFF"/>
    <w:rsid w:val="5D960EE9"/>
    <w:rsid w:val="5D9A0CFA"/>
    <w:rsid w:val="5D9B296A"/>
    <w:rsid w:val="5DA53D05"/>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A3A61"/>
    <w:rsid w:val="5F3370DF"/>
    <w:rsid w:val="5F491124"/>
    <w:rsid w:val="5F683B6E"/>
    <w:rsid w:val="5F7D5B44"/>
    <w:rsid w:val="5F825131"/>
    <w:rsid w:val="5F875C0C"/>
    <w:rsid w:val="5F8F0B9E"/>
    <w:rsid w:val="5F8F267A"/>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7A6EE7"/>
    <w:rsid w:val="6182260C"/>
    <w:rsid w:val="618D6AD7"/>
    <w:rsid w:val="619E7CE8"/>
    <w:rsid w:val="61AD68BC"/>
    <w:rsid w:val="61B173D2"/>
    <w:rsid w:val="61D43A2B"/>
    <w:rsid w:val="61E34474"/>
    <w:rsid w:val="61EB5611"/>
    <w:rsid w:val="61FC62B1"/>
    <w:rsid w:val="61FF316E"/>
    <w:rsid w:val="621542CB"/>
    <w:rsid w:val="622A0761"/>
    <w:rsid w:val="624263A2"/>
    <w:rsid w:val="625272C3"/>
    <w:rsid w:val="626B336E"/>
    <w:rsid w:val="626E0821"/>
    <w:rsid w:val="62715337"/>
    <w:rsid w:val="6280204D"/>
    <w:rsid w:val="62866909"/>
    <w:rsid w:val="6290769B"/>
    <w:rsid w:val="62943D08"/>
    <w:rsid w:val="62A05735"/>
    <w:rsid w:val="62A411F8"/>
    <w:rsid w:val="62A609E3"/>
    <w:rsid w:val="62A81A26"/>
    <w:rsid w:val="62B1166E"/>
    <w:rsid w:val="62BA7A46"/>
    <w:rsid w:val="62C376AC"/>
    <w:rsid w:val="62CE13CB"/>
    <w:rsid w:val="62D2197B"/>
    <w:rsid w:val="62DB028F"/>
    <w:rsid w:val="62F458F9"/>
    <w:rsid w:val="62F6011A"/>
    <w:rsid w:val="62FD2BA9"/>
    <w:rsid w:val="6327422B"/>
    <w:rsid w:val="6328597C"/>
    <w:rsid w:val="633B249F"/>
    <w:rsid w:val="63552D76"/>
    <w:rsid w:val="6359778B"/>
    <w:rsid w:val="635B63E3"/>
    <w:rsid w:val="63710D45"/>
    <w:rsid w:val="63785E35"/>
    <w:rsid w:val="638C3395"/>
    <w:rsid w:val="63B82D87"/>
    <w:rsid w:val="63BA3154"/>
    <w:rsid w:val="63C204B8"/>
    <w:rsid w:val="63CA2E8B"/>
    <w:rsid w:val="63D4153E"/>
    <w:rsid w:val="63DC7755"/>
    <w:rsid w:val="63E43D21"/>
    <w:rsid w:val="63F47D2A"/>
    <w:rsid w:val="63FE2D33"/>
    <w:rsid w:val="64046427"/>
    <w:rsid w:val="640F1891"/>
    <w:rsid w:val="642265C6"/>
    <w:rsid w:val="64264A79"/>
    <w:rsid w:val="64304E58"/>
    <w:rsid w:val="64311867"/>
    <w:rsid w:val="64391ED3"/>
    <w:rsid w:val="6445632E"/>
    <w:rsid w:val="64501C8A"/>
    <w:rsid w:val="64742B63"/>
    <w:rsid w:val="647E661E"/>
    <w:rsid w:val="648939AA"/>
    <w:rsid w:val="648C635C"/>
    <w:rsid w:val="649B1AC2"/>
    <w:rsid w:val="64A7467B"/>
    <w:rsid w:val="64B53322"/>
    <w:rsid w:val="64C61AF8"/>
    <w:rsid w:val="64C86505"/>
    <w:rsid w:val="64FE700F"/>
    <w:rsid w:val="6500327F"/>
    <w:rsid w:val="6506609B"/>
    <w:rsid w:val="65083216"/>
    <w:rsid w:val="65460728"/>
    <w:rsid w:val="65822810"/>
    <w:rsid w:val="65870C45"/>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1D25CE"/>
    <w:rsid w:val="66206CF2"/>
    <w:rsid w:val="66265846"/>
    <w:rsid w:val="66287C9C"/>
    <w:rsid w:val="662E4097"/>
    <w:rsid w:val="664805B8"/>
    <w:rsid w:val="665572E9"/>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46948"/>
    <w:rsid w:val="67666F45"/>
    <w:rsid w:val="676D2F4B"/>
    <w:rsid w:val="677A266A"/>
    <w:rsid w:val="677C1A81"/>
    <w:rsid w:val="677E7198"/>
    <w:rsid w:val="678A426A"/>
    <w:rsid w:val="67914BE1"/>
    <w:rsid w:val="67A01F16"/>
    <w:rsid w:val="67A96661"/>
    <w:rsid w:val="67B163D1"/>
    <w:rsid w:val="67D7447D"/>
    <w:rsid w:val="67F45538"/>
    <w:rsid w:val="680239EB"/>
    <w:rsid w:val="68034597"/>
    <w:rsid w:val="680722DA"/>
    <w:rsid w:val="682211D1"/>
    <w:rsid w:val="6836510C"/>
    <w:rsid w:val="685C6395"/>
    <w:rsid w:val="686318DD"/>
    <w:rsid w:val="68635145"/>
    <w:rsid w:val="687F607E"/>
    <w:rsid w:val="689A41FB"/>
    <w:rsid w:val="689E57F0"/>
    <w:rsid w:val="68A34C5C"/>
    <w:rsid w:val="68B85B1E"/>
    <w:rsid w:val="68E24981"/>
    <w:rsid w:val="69123F86"/>
    <w:rsid w:val="691C1D81"/>
    <w:rsid w:val="691C3525"/>
    <w:rsid w:val="69216128"/>
    <w:rsid w:val="69280874"/>
    <w:rsid w:val="695D6B21"/>
    <w:rsid w:val="69611EE7"/>
    <w:rsid w:val="696C708E"/>
    <w:rsid w:val="696F4D5D"/>
    <w:rsid w:val="69850877"/>
    <w:rsid w:val="698C13C5"/>
    <w:rsid w:val="69BA3522"/>
    <w:rsid w:val="69F0745A"/>
    <w:rsid w:val="6A0D20F2"/>
    <w:rsid w:val="6A1D59EC"/>
    <w:rsid w:val="6A247F72"/>
    <w:rsid w:val="6A3E2393"/>
    <w:rsid w:val="6A435B92"/>
    <w:rsid w:val="6A444DB8"/>
    <w:rsid w:val="6A4D4828"/>
    <w:rsid w:val="6A516AC3"/>
    <w:rsid w:val="6A5303BA"/>
    <w:rsid w:val="6A677080"/>
    <w:rsid w:val="6A6C357E"/>
    <w:rsid w:val="6A711183"/>
    <w:rsid w:val="6A7B4B9C"/>
    <w:rsid w:val="6A7F585E"/>
    <w:rsid w:val="6AAF014C"/>
    <w:rsid w:val="6AC07690"/>
    <w:rsid w:val="6ACB082B"/>
    <w:rsid w:val="6AD3247E"/>
    <w:rsid w:val="6ADD7B15"/>
    <w:rsid w:val="6AE37ECF"/>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BEC7AFC"/>
    <w:rsid w:val="6C0858B3"/>
    <w:rsid w:val="6C240DF3"/>
    <w:rsid w:val="6C267BF0"/>
    <w:rsid w:val="6C3E2FAF"/>
    <w:rsid w:val="6C45610F"/>
    <w:rsid w:val="6C59472D"/>
    <w:rsid w:val="6C5A4564"/>
    <w:rsid w:val="6C603744"/>
    <w:rsid w:val="6C637CCF"/>
    <w:rsid w:val="6C683A0E"/>
    <w:rsid w:val="6C7802EB"/>
    <w:rsid w:val="6C89456C"/>
    <w:rsid w:val="6CA20D5B"/>
    <w:rsid w:val="6CB71894"/>
    <w:rsid w:val="6CD63FB3"/>
    <w:rsid w:val="6CFD5D1F"/>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B77ED4"/>
    <w:rsid w:val="6FBD4D2F"/>
    <w:rsid w:val="6FBF4710"/>
    <w:rsid w:val="6FC9052A"/>
    <w:rsid w:val="6FC9109F"/>
    <w:rsid w:val="6FDB518F"/>
    <w:rsid w:val="6FE529ED"/>
    <w:rsid w:val="6FF733A7"/>
    <w:rsid w:val="70003DD9"/>
    <w:rsid w:val="70072915"/>
    <w:rsid w:val="70172090"/>
    <w:rsid w:val="70195E88"/>
    <w:rsid w:val="701D43BA"/>
    <w:rsid w:val="702B6F43"/>
    <w:rsid w:val="7032079E"/>
    <w:rsid w:val="703340B0"/>
    <w:rsid w:val="703C186A"/>
    <w:rsid w:val="70570007"/>
    <w:rsid w:val="705843B4"/>
    <w:rsid w:val="70655A58"/>
    <w:rsid w:val="706A16CA"/>
    <w:rsid w:val="70822BAD"/>
    <w:rsid w:val="708746BC"/>
    <w:rsid w:val="708F7F54"/>
    <w:rsid w:val="709E3D85"/>
    <w:rsid w:val="70A36A35"/>
    <w:rsid w:val="70AC660B"/>
    <w:rsid w:val="70B17138"/>
    <w:rsid w:val="70BB2EF0"/>
    <w:rsid w:val="70BC2801"/>
    <w:rsid w:val="70C145EC"/>
    <w:rsid w:val="70C6646C"/>
    <w:rsid w:val="70C72A96"/>
    <w:rsid w:val="70FC2D1E"/>
    <w:rsid w:val="71015D6B"/>
    <w:rsid w:val="71115386"/>
    <w:rsid w:val="71151975"/>
    <w:rsid w:val="71336A65"/>
    <w:rsid w:val="71545B37"/>
    <w:rsid w:val="71570E43"/>
    <w:rsid w:val="71573E01"/>
    <w:rsid w:val="715A268F"/>
    <w:rsid w:val="71702748"/>
    <w:rsid w:val="717C4AD2"/>
    <w:rsid w:val="71867894"/>
    <w:rsid w:val="719F7A78"/>
    <w:rsid w:val="71B623F6"/>
    <w:rsid w:val="71C7540C"/>
    <w:rsid w:val="71D438FF"/>
    <w:rsid w:val="71F64A63"/>
    <w:rsid w:val="71F870B8"/>
    <w:rsid w:val="72021233"/>
    <w:rsid w:val="720B2A1D"/>
    <w:rsid w:val="72380401"/>
    <w:rsid w:val="72502F9F"/>
    <w:rsid w:val="725817D3"/>
    <w:rsid w:val="726E6AD4"/>
    <w:rsid w:val="727C422C"/>
    <w:rsid w:val="728E71EE"/>
    <w:rsid w:val="7292045A"/>
    <w:rsid w:val="72974DBE"/>
    <w:rsid w:val="72A20C20"/>
    <w:rsid w:val="72AC5E95"/>
    <w:rsid w:val="72AD26CF"/>
    <w:rsid w:val="72C13ED7"/>
    <w:rsid w:val="72CF1AC7"/>
    <w:rsid w:val="72E42AFA"/>
    <w:rsid w:val="72E85578"/>
    <w:rsid w:val="72EB4466"/>
    <w:rsid w:val="72F5235D"/>
    <w:rsid w:val="72FD426E"/>
    <w:rsid w:val="73043CFC"/>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E3CFD"/>
    <w:rsid w:val="73E406FD"/>
    <w:rsid w:val="73E51541"/>
    <w:rsid w:val="73E52294"/>
    <w:rsid w:val="73EC5464"/>
    <w:rsid w:val="73F03142"/>
    <w:rsid w:val="73FF2D64"/>
    <w:rsid w:val="74137154"/>
    <w:rsid w:val="7421310D"/>
    <w:rsid w:val="74257F79"/>
    <w:rsid w:val="74273820"/>
    <w:rsid w:val="7427471C"/>
    <w:rsid w:val="74355B0B"/>
    <w:rsid w:val="74382479"/>
    <w:rsid w:val="743C7157"/>
    <w:rsid w:val="74416F54"/>
    <w:rsid w:val="744B354F"/>
    <w:rsid w:val="7450294E"/>
    <w:rsid w:val="74543139"/>
    <w:rsid w:val="746B732F"/>
    <w:rsid w:val="746E18CB"/>
    <w:rsid w:val="746F3904"/>
    <w:rsid w:val="748D52FA"/>
    <w:rsid w:val="74986414"/>
    <w:rsid w:val="74993216"/>
    <w:rsid w:val="74B44784"/>
    <w:rsid w:val="74B808BF"/>
    <w:rsid w:val="74C03187"/>
    <w:rsid w:val="74E4756E"/>
    <w:rsid w:val="74EA0E1A"/>
    <w:rsid w:val="74ED19FF"/>
    <w:rsid w:val="74F4641C"/>
    <w:rsid w:val="75084E8F"/>
    <w:rsid w:val="7509261E"/>
    <w:rsid w:val="75202656"/>
    <w:rsid w:val="752231CE"/>
    <w:rsid w:val="756625FA"/>
    <w:rsid w:val="75752B04"/>
    <w:rsid w:val="758910BB"/>
    <w:rsid w:val="75955DA9"/>
    <w:rsid w:val="75977910"/>
    <w:rsid w:val="75985DFA"/>
    <w:rsid w:val="759F2A35"/>
    <w:rsid w:val="75B15C41"/>
    <w:rsid w:val="75CC5191"/>
    <w:rsid w:val="75D12923"/>
    <w:rsid w:val="75EA364B"/>
    <w:rsid w:val="75EC6D49"/>
    <w:rsid w:val="75F20996"/>
    <w:rsid w:val="75F96973"/>
    <w:rsid w:val="76123E1D"/>
    <w:rsid w:val="761270F3"/>
    <w:rsid w:val="762135B2"/>
    <w:rsid w:val="762A17C0"/>
    <w:rsid w:val="762D0A29"/>
    <w:rsid w:val="762E6798"/>
    <w:rsid w:val="76425118"/>
    <w:rsid w:val="764838B9"/>
    <w:rsid w:val="764B15DA"/>
    <w:rsid w:val="764C09B4"/>
    <w:rsid w:val="764F5A52"/>
    <w:rsid w:val="766A4A0D"/>
    <w:rsid w:val="768614B6"/>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715DF"/>
    <w:rsid w:val="79DC713A"/>
    <w:rsid w:val="79EC0256"/>
    <w:rsid w:val="79F60153"/>
    <w:rsid w:val="79FB6E2C"/>
    <w:rsid w:val="7A36322F"/>
    <w:rsid w:val="7A3C2BAA"/>
    <w:rsid w:val="7A3D2527"/>
    <w:rsid w:val="7A4C2D60"/>
    <w:rsid w:val="7A5C4815"/>
    <w:rsid w:val="7A5E0869"/>
    <w:rsid w:val="7A6E4BF5"/>
    <w:rsid w:val="7A7A2665"/>
    <w:rsid w:val="7A851D5D"/>
    <w:rsid w:val="7A8A2267"/>
    <w:rsid w:val="7AB53126"/>
    <w:rsid w:val="7AB7121B"/>
    <w:rsid w:val="7AB76FE8"/>
    <w:rsid w:val="7AD268E2"/>
    <w:rsid w:val="7ADC0B33"/>
    <w:rsid w:val="7AE14C19"/>
    <w:rsid w:val="7AEA174E"/>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11E7"/>
    <w:rsid w:val="7C34521A"/>
    <w:rsid w:val="7C4A2BD1"/>
    <w:rsid w:val="7C576C70"/>
    <w:rsid w:val="7C607511"/>
    <w:rsid w:val="7C6E4349"/>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E198F"/>
    <w:rsid w:val="7D3B3737"/>
    <w:rsid w:val="7D3D73AF"/>
    <w:rsid w:val="7D5B27C9"/>
    <w:rsid w:val="7D62117D"/>
    <w:rsid w:val="7D6B7F02"/>
    <w:rsid w:val="7D834A16"/>
    <w:rsid w:val="7D9D0A97"/>
    <w:rsid w:val="7D9D438F"/>
    <w:rsid w:val="7DA514D2"/>
    <w:rsid w:val="7DBB5D06"/>
    <w:rsid w:val="7DCD1A27"/>
    <w:rsid w:val="7DCD4EB5"/>
    <w:rsid w:val="7E090313"/>
    <w:rsid w:val="7E3E0FEC"/>
    <w:rsid w:val="7E3E1EF2"/>
    <w:rsid w:val="7E4247D7"/>
    <w:rsid w:val="7E517B0C"/>
    <w:rsid w:val="7E566EA2"/>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B2248"/>
    <w:rsid w:val="7F7D7A8E"/>
    <w:rsid w:val="7F872588"/>
    <w:rsid w:val="7F8725BA"/>
    <w:rsid w:val="7F8C6A8F"/>
    <w:rsid w:val="7F9C175D"/>
    <w:rsid w:val="7FA85877"/>
    <w:rsid w:val="7FAB3A81"/>
    <w:rsid w:val="7FBE68FB"/>
    <w:rsid w:val="7FCB6843"/>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4</TotalTime>
  <ScaleCrop>false</ScaleCrop>
  <LinksUpToDate>false</LinksUpToDate>
  <CharactersWithSpaces>7127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ZTE(Liu Wenhao)</cp:lastModifiedBy>
  <dcterms:modified xsi:type="dcterms:W3CDTF">2023-04-10T08:39:55Z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